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F2A" w:rsidRPr="00456F2A" w:rsidRDefault="00456F2A" w:rsidP="00456F2A">
      <w:pPr>
        <w:shd w:val="clear" w:color="auto" w:fill="FFFFFF"/>
        <w:spacing w:before="100" w:beforeAutospacing="1" w:after="100" w:afterAutospacing="1" w:line="240" w:lineRule="auto"/>
        <w:jc w:val="center"/>
        <w:rPr>
          <w:rFonts w:ascii="Arial" w:eastAsia="Times New Roman" w:hAnsi="Arial" w:cs="Arial"/>
          <w:color w:val="222222"/>
          <w:sz w:val="24"/>
          <w:szCs w:val="24"/>
          <w:lang w:eastAsia="en-GB"/>
        </w:rPr>
      </w:pPr>
      <w:r w:rsidRPr="00456F2A">
        <w:rPr>
          <w:rFonts w:ascii="Times New Roman" w:eastAsia="Times New Roman" w:hAnsi="Times New Roman" w:cs="Times New Roman"/>
          <w:b/>
          <w:bCs/>
          <w:color w:val="222222"/>
          <w:sz w:val="20"/>
          <w:szCs w:val="20"/>
          <w:lang w:eastAsia="en-GB"/>
        </w:rPr>
        <w:t>Atradius lifts the lid on North America</w:t>
      </w:r>
    </w:p>
    <w:p w:rsidR="00456F2A" w:rsidRPr="00456F2A" w:rsidRDefault="00456F2A" w:rsidP="00456F2A">
      <w:pPr>
        <w:shd w:val="clear" w:color="auto" w:fill="FFFFFF"/>
        <w:spacing w:before="100" w:beforeAutospacing="1" w:after="100" w:afterAutospacing="1" w:line="240" w:lineRule="auto"/>
        <w:jc w:val="center"/>
        <w:rPr>
          <w:rFonts w:ascii="Arial" w:eastAsia="Times New Roman" w:hAnsi="Arial" w:cs="Arial"/>
          <w:color w:val="222222"/>
          <w:sz w:val="24"/>
          <w:szCs w:val="24"/>
          <w:lang w:eastAsia="en-GB"/>
        </w:rPr>
      </w:pPr>
      <w:r w:rsidRPr="00456F2A">
        <w:rPr>
          <w:rFonts w:ascii="Arial" w:eastAsia="Times New Roman" w:hAnsi="Arial" w:cs="Arial"/>
          <w:color w:val="222222"/>
          <w:sz w:val="24"/>
          <w:szCs w:val="24"/>
          <w:lang w:eastAsia="en-GB"/>
        </w:rPr>
        <w:t> </w:t>
      </w:r>
    </w:p>
    <w:p w:rsidR="00456F2A" w:rsidRPr="00456F2A" w:rsidRDefault="00456F2A" w:rsidP="00456F2A">
      <w:pPr>
        <w:shd w:val="clear" w:color="auto" w:fill="FFFFFF"/>
        <w:spacing w:before="100" w:beforeAutospacing="1" w:after="100" w:afterAutospacing="1" w:line="224" w:lineRule="atLeast"/>
        <w:rPr>
          <w:rFonts w:ascii="Arial" w:eastAsia="Times New Roman" w:hAnsi="Arial" w:cs="Arial"/>
          <w:color w:val="222222"/>
          <w:sz w:val="24"/>
          <w:szCs w:val="24"/>
          <w:lang w:eastAsia="en-GB"/>
        </w:rPr>
      </w:pPr>
      <w:r w:rsidRPr="00456F2A">
        <w:rPr>
          <w:rFonts w:ascii="Times New Roman" w:eastAsia="Times New Roman" w:hAnsi="Times New Roman" w:cs="Times New Roman"/>
          <w:color w:val="222222"/>
          <w:sz w:val="20"/>
          <w:szCs w:val="20"/>
          <w:lang w:eastAsia="en-GB"/>
        </w:rPr>
        <w:t>A report detailing the major economic and political updates of North American markets has been published by global trade credit insurer </w:t>
      </w:r>
      <w:hyperlink r:id="rId5" w:tgtFrame="_blank" w:history="1">
        <w:r w:rsidRPr="00456F2A">
          <w:rPr>
            <w:rFonts w:ascii="Times New Roman" w:eastAsia="Times New Roman" w:hAnsi="Times New Roman" w:cs="Times New Roman"/>
            <w:color w:val="1155CC"/>
            <w:sz w:val="20"/>
            <w:szCs w:val="20"/>
            <w:u w:val="single"/>
            <w:lang w:eastAsia="en-GB"/>
          </w:rPr>
          <w:t>Atradius</w:t>
        </w:r>
      </w:hyperlink>
      <w:r w:rsidRPr="00456F2A">
        <w:rPr>
          <w:rFonts w:ascii="Times New Roman" w:eastAsia="Times New Roman" w:hAnsi="Times New Roman" w:cs="Times New Roman"/>
          <w:color w:val="222222"/>
          <w:sz w:val="20"/>
          <w:szCs w:val="20"/>
          <w:lang w:eastAsia="en-GB"/>
        </w:rPr>
        <w:t>.</w:t>
      </w:r>
    </w:p>
    <w:p w:rsidR="00456F2A" w:rsidRPr="00456F2A" w:rsidRDefault="00456F2A" w:rsidP="00456F2A">
      <w:pPr>
        <w:shd w:val="clear" w:color="auto" w:fill="FFFFFF"/>
        <w:spacing w:before="100" w:beforeAutospacing="1" w:after="100" w:afterAutospacing="1" w:line="224" w:lineRule="atLeast"/>
        <w:rPr>
          <w:rFonts w:ascii="Arial" w:eastAsia="Times New Roman" w:hAnsi="Arial" w:cs="Arial"/>
          <w:color w:val="222222"/>
          <w:sz w:val="24"/>
          <w:szCs w:val="24"/>
          <w:lang w:eastAsia="en-GB"/>
        </w:rPr>
      </w:pPr>
      <w:r w:rsidRPr="00456F2A">
        <w:rPr>
          <w:rFonts w:ascii="Arial" w:eastAsia="Times New Roman" w:hAnsi="Arial" w:cs="Arial"/>
          <w:color w:val="222222"/>
          <w:sz w:val="24"/>
          <w:szCs w:val="24"/>
          <w:lang w:eastAsia="en-GB"/>
        </w:rPr>
        <w:t> </w:t>
      </w:r>
    </w:p>
    <w:p w:rsidR="00456F2A" w:rsidRPr="00456F2A" w:rsidRDefault="00456F2A" w:rsidP="00456F2A">
      <w:pPr>
        <w:shd w:val="clear" w:color="auto" w:fill="FFFFFF"/>
        <w:spacing w:before="100" w:beforeAutospacing="1" w:after="100" w:afterAutospacing="1" w:line="224" w:lineRule="atLeast"/>
        <w:rPr>
          <w:rFonts w:ascii="Arial" w:eastAsia="Times New Roman" w:hAnsi="Arial" w:cs="Arial"/>
          <w:color w:val="222222"/>
          <w:sz w:val="24"/>
          <w:szCs w:val="24"/>
          <w:lang w:eastAsia="en-GB"/>
        </w:rPr>
      </w:pPr>
      <w:r w:rsidRPr="00456F2A">
        <w:rPr>
          <w:rFonts w:ascii="Times New Roman" w:eastAsia="Times New Roman" w:hAnsi="Times New Roman" w:cs="Times New Roman"/>
          <w:color w:val="222222"/>
          <w:sz w:val="20"/>
          <w:szCs w:val="20"/>
          <w:lang w:eastAsia="en-GB"/>
        </w:rPr>
        <w:t>The Atradius North American Country Report is a free publication for any business that is trading, or seeking to trade, within the region.</w:t>
      </w:r>
    </w:p>
    <w:p w:rsidR="00456F2A" w:rsidRPr="00456F2A" w:rsidRDefault="00456F2A" w:rsidP="00456F2A">
      <w:pPr>
        <w:shd w:val="clear" w:color="auto" w:fill="FFFFFF"/>
        <w:spacing w:before="100" w:beforeAutospacing="1" w:after="100" w:afterAutospacing="1" w:line="224" w:lineRule="atLeast"/>
        <w:rPr>
          <w:rFonts w:ascii="Arial" w:eastAsia="Times New Roman" w:hAnsi="Arial" w:cs="Arial"/>
          <w:color w:val="222222"/>
          <w:sz w:val="24"/>
          <w:szCs w:val="24"/>
          <w:lang w:eastAsia="en-GB"/>
        </w:rPr>
      </w:pPr>
      <w:r w:rsidRPr="00456F2A">
        <w:rPr>
          <w:rFonts w:ascii="Arial" w:eastAsia="Times New Roman" w:hAnsi="Arial" w:cs="Arial"/>
          <w:color w:val="222222"/>
          <w:sz w:val="24"/>
          <w:szCs w:val="24"/>
          <w:lang w:eastAsia="en-GB"/>
        </w:rPr>
        <w:t> </w:t>
      </w:r>
    </w:p>
    <w:p w:rsidR="00456F2A" w:rsidRPr="00456F2A" w:rsidRDefault="00456F2A" w:rsidP="00456F2A">
      <w:pPr>
        <w:shd w:val="clear" w:color="auto" w:fill="FFFFFF"/>
        <w:spacing w:before="100" w:beforeAutospacing="1" w:after="100" w:afterAutospacing="1" w:line="224" w:lineRule="atLeast"/>
        <w:rPr>
          <w:rFonts w:ascii="Arial" w:eastAsia="Times New Roman" w:hAnsi="Arial" w:cs="Arial"/>
          <w:color w:val="222222"/>
          <w:sz w:val="24"/>
          <w:szCs w:val="24"/>
          <w:lang w:eastAsia="en-GB"/>
        </w:rPr>
      </w:pPr>
      <w:r w:rsidRPr="00456F2A">
        <w:rPr>
          <w:rFonts w:ascii="Times New Roman" w:eastAsia="Times New Roman" w:hAnsi="Times New Roman" w:cs="Times New Roman"/>
          <w:color w:val="222222"/>
          <w:sz w:val="20"/>
          <w:szCs w:val="20"/>
          <w:lang w:eastAsia="en-GB"/>
        </w:rPr>
        <w:t>Richard Reynolds, head of Strategic Accounts for Atradius UK, commented:</w:t>
      </w:r>
    </w:p>
    <w:p w:rsidR="00456F2A" w:rsidRPr="00456F2A" w:rsidRDefault="00456F2A" w:rsidP="00456F2A">
      <w:pPr>
        <w:shd w:val="clear" w:color="auto" w:fill="FFFFFF"/>
        <w:spacing w:before="100" w:beforeAutospacing="1" w:after="100" w:afterAutospacing="1" w:line="224" w:lineRule="atLeast"/>
        <w:rPr>
          <w:rFonts w:ascii="Arial" w:eastAsia="Times New Roman" w:hAnsi="Arial" w:cs="Arial"/>
          <w:color w:val="222222"/>
          <w:sz w:val="24"/>
          <w:szCs w:val="24"/>
          <w:lang w:eastAsia="en-GB"/>
        </w:rPr>
      </w:pPr>
      <w:r w:rsidRPr="00456F2A">
        <w:rPr>
          <w:rFonts w:ascii="Times New Roman" w:eastAsia="Times New Roman" w:hAnsi="Times New Roman" w:cs="Times New Roman"/>
          <w:color w:val="222222"/>
          <w:sz w:val="20"/>
          <w:szCs w:val="20"/>
          <w:lang w:eastAsia="en-GB"/>
        </w:rPr>
        <w:t>“Knowledge is the bedrock of sound trade and an informed business is more likely to successfully mitigate the risks of international trade. If you’re only trading with one customer, it’s easy to focus only on their individual track record. However, it’s imperative to also keep an eye on the wider market and the potential impact that economic or political changes may have upon your customer, and their customers, and the overall sector.</w:t>
      </w:r>
    </w:p>
    <w:p w:rsidR="00456F2A" w:rsidRPr="00456F2A" w:rsidRDefault="00456F2A" w:rsidP="00456F2A">
      <w:pPr>
        <w:shd w:val="clear" w:color="auto" w:fill="FFFFFF"/>
        <w:spacing w:before="100" w:beforeAutospacing="1" w:after="100" w:afterAutospacing="1" w:line="224" w:lineRule="atLeast"/>
        <w:rPr>
          <w:rFonts w:ascii="Arial" w:eastAsia="Times New Roman" w:hAnsi="Arial" w:cs="Arial"/>
          <w:color w:val="222222"/>
          <w:sz w:val="24"/>
          <w:szCs w:val="24"/>
          <w:lang w:eastAsia="en-GB"/>
        </w:rPr>
      </w:pPr>
      <w:r w:rsidRPr="00456F2A">
        <w:rPr>
          <w:rFonts w:ascii="Arial" w:eastAsia="Times New Roman" w:hAnsi="Arial" w:cs="Arial"/>
          <w:color w:val="222222"/>
          <w:sz w:val="24"/>
          <w:szCs w:val="24"/>
          <w:lang w:eastAsia="en-GB"/>
        </w:rPr>
        <w:t> </w:t>
      </w:r>
    </w:p>
    <w:p w:rsidR="00456F2A" w:rsidRPr="00456F2A" w:rsidRDefault="00456F2A" w:rsidP="00456F2A">
      <w:pPr>
        <w:shd w:val="clear" w:color="auto" w:fill="FFFFFF"/>
        <w:spacing w:before="100" w:beforeAutospacing="1" w:after="100" w:afterAutospacing="1" w:line="224" w:lineRule="atLeast"/>
        <w:rPr>
          <w:rFonts w:ascii="Arial" w:eastAsia="Times New Roman" w:hAnsi="Arial" w:cs="Arial"/>
          <w:color w:val="222222"/>
          <w:sz w:val="24"/>
          <w:szCs w:val="24"/>
          <w:lang w:eastAsia="en-GB"/>
        </w:rPr>
      </w:pPr>
      <w:r w:rsidRPr="00456F2A">
        <w:rPr>
          <w:rFonts w:ascii="Times New Roman" w:eastAsia="Times New Roman" w:hAnsi="Times New Roman" w:cs="Times New Roman"/>
          <w:color w:val="222222"/>
          <w:sz w:val="20"/>
          <w:szCs w:val="20"/>
          <w:lang w:eastAsia="en-GB"/>
        </w:rPr>
        <w:t>“With experts on the ground in markets around the world, Atradius is able to give real-time insight to the changing economic and political environment as well as offer a performance rating of key sectors within each market.”</w:t>
      </w:r>
    </w:p>
    <w:p w:rsidR="00456F2A" w:rsidRPr="00456F2A" w:rsidRDefault="00456F2A" w:rsidP="00456F2A">
      <w:pPr>
        <w:shd w:val="clear" w:color="auto" w:fill="FFFFFF"/>
        <w:spacing w:before="100" w:beforeAutospacing="1" w:after="100" w:afterAutospacing="1" w:line="224" w:lineRule="atLeast"/>
        <w:rPr>
          <w:rFonts w:ascii="Arial" w:eastAsia="Times New Roman" w:hAnsi="Arial" w:cs="Arial"/>
          <w:color w:val="222222"/>
          <w:sz w:val="24"/>
          <w:szCs w:val="24"/>
          <w:lang w:eastAsia="en-GB"/>
        </w:rPr>
      </w:pPr>
      <w:r w:rsidRPr="00456F2A">
        <w:rPr>
          <w:rFonts w:ascii="Arial" w:eastAsia="Times New Roman" w:hAnsi="Arial" w:cs="Arial"/>
          <w:color w:val="222222"/>
          <w:sz w:val="24"/>
          <w:szCs w:val="24"/>
          <w:lang w:eastAsia="en-GB"/>
        </w:rPr>
        <w:t> </w:t>
      </w:r>
    </w:p>
    <w:p w:rsidR="00456F2A" w:rsidRPr="00456F2A" w:rsidRDefault="00456F2A" w:rsidP="00456F2A">
      <w:pPr>
        <w:shd w:val="clear" w:color="auto" w:fill="FFFFFF"/>
        <w:spacing w:before="100" w:beforeAutospacing="1" w:after="100" w:afterAutospacing="1" w:line="224" w:lineRule="atLeast"/>
        <w:rPr>
          <w:rFonts w:ascii="Arial" w:eastAsia="Times New Roman" w:hAnsi="Arial" w:cs="Arial"/>
          <w:color w:val="222222"/>
          <w:sz w:val="24"/>
          <w:szCs w:val="24"/>
          <w:lang w:eastAsia="en-GB"/>
        </w:rPr>
      </w:pPr>
      <w:r w:rsidRPr="00456F2A">
        <w:rPr>
          <w:rFonts w:ascii="Arial" w:eastAsia="Times New Roman" w:hAnsi="Arial" w:cs="Arial"/>
          <w:color w:val="222222"/>
          <w:sz w:val="24"/>
          <w:szCs w:val="24"/>
          <w:lang w:eastAsia="en-GB"/>
        </w:rPr>
        <w:t> </w:t>
      </w:r>
      <w:hyperlink r:id="rId6" w:tgtFrame="_blank" w:history="1">
        <w:r w:rsidRPr="00456F2A">
          <w:rPr>
            <w:rFonts w:ascii="Times New Roman" w:eastAsia="Times New Roman" w:hAnsi="Times New Roman" w:cs="Times New Roman"/>
            <w:b/>
            <w:bCs/>
            <w:color w:val="1155CC"/>
            <w:sz w:val="20"/>
            <w:szCs w:val="20"/>
            <w:lang w:eastAsia="en-GB"/>
          </w:rPr>
          <w:t>Country Report</w:t>
        </w:r>
      </w:hyperlink>
      <w:r w:rsidRPr="00456F2A">
        <w:rPr>
          <w:rFonts w:ascii="Times New Roman" w:eastAsia="Times New Roman" w:hAnsi="Times New Roman" w:cs="Times New Roman"/>
          <w:b/>
          <w:bCs/>
          <w:color w:val="222222"/>
          <w:sz w:val="20"/>
          <w:szCs w:val="20"/>
          <w:lang w:eastAsia="en-GB"/>
        </w:rPr>
        <w:t> - key highlights:</w:t>
      </w:r>
    </w:p>
    <w:p w:rsidR="00456F2A" w:rsidRPr="00456F2A" w:rsidRDefault="00456F2A" w:rsidP="00456F2A">
      <w:pPr>
        <w:shd w:val="clear" w:color="auto" w:fill="FFFFFF"/>
        <w:spacing w:before="100" w:beforeAutospacing="1" w:after="100" w:afterAutospacing="1" w:line="224" w:lineRule="atLeast"/>
        <w:rPr>
          <w:rFonts w:ascii="Arial" w:eastAsia="Times New Roman" w:hAnsi="Arial" w:cs="Arial"/>
          <w:color w:val="222222"/>
          <w:sz w:val="24"/>
          <w:szCs w:val="24"/>
          <w:lang w:eastAsia="en-GB"/>
        </w:rPr>
      </w:pPr>
      <w:r w:rsidRPr="00456F2A">
        <w:rPr>
          <w:rFonts w:ascii="Arial" w:eastAsia="Times New Roman" w:hAnsi="Arial" w:cs="Arial"/>
          <w:color w:val="222222"/>
          <w:sz w:val="24"/>
          <w:szCs w:val="24"/>
          <w:lang w:eastAsia="en-GB"/>
        </w:rPr>
        <w:t> </w:t>
      </w:r>
    </w:p>
    <w:p w:rsidR="00456F2A" w:rsidRPr="00456F2A" w:rsidRDefault="00456F2A" w:rsidP="00456F2A">
      <w:pPr>
        <w:shd w:val="clear" w:color="auto" w:fill="FFFFFF"/>
        <w:spacing w:before="100" w:beforeAutospacing="1" w:after="100" w:afterAutospacing="1" w:line="224" w:lineRule="atLeast"/>
        <w:rPr>
          <w:rFonts w:ascii="Arial" w:eastAsia="Times New Roman" w:hAnsi="Arial" w:cs="Arial"/>
          <w:color w:val="222222"/>
          <w:sz w:val="24"/>
          <w:szCs w:val="24"/>
          <w:lang w:eastAsia="en-GB"/>
        </w:rPr>
      </w:pPr>
      <w:r w:rsidRPr="00456F2A">
        <w:rPr>
          <w:rFonts w:ascii="Times New Roman" w:eastAsia="Times New Roman" w:hAnsi="Times New Roman" w:cs="Times New Roman"/>
          <w:b/>
          <w:bCs/>
          <w:color w:val="222222"/>
          <w:sz w:val="20"/>
          <w:szCs w:val="20"/>
          <w:lang w:eastAsia="en-GB"/>
        </w:rPr>
        <w:t>USA:</w:t>
      </w:r>
    </w:p>
    <w:p w:rsidR="00456F2A" w:rsidRPr="00456F2A" w:rsidRDefault="00456F2A" w:rsidP="00456F2A">
      <w:pPr>
        <w:numPr>
          <w:ilvl w:val="0"/>
          <w:numId w:val="1"/>
        </w:numPr>
        <w:shd w:val="clear" w:color="auto" w:fill="FFFFFF"/>
        <w:spacing w:after="0" w:line="240" w:lineRule="auto"/>
        <w:ind w:left="945"/>
        <w:rPr>
          <w:rFonts w:ascii="Arial" w:eastAsia="Times New Roman" w:hAnsi="Arial" w:cs="Arial"/>
          <w:color w:val="222222"/>
          <w:sz w:val="24"/>
          <w:szCs w:val="24"/>
          <w:lang w:eastAsia="en-GB"/>
        </w:rPr>
      </w:pPr>
      <w:r w:rsidRPr="00456F2A">
        <w:rPr>
          <w:rFonts w:ascii="Times New Roman" w:eastAsia="Times New Roman" w:hAnsi="Times New Roman" w:cs="Times New Roman"/>
          <w:b/>
          <w:bCs/>
          <w:color w:val="222222"/>
          <w:sz w:val="20"/>
          <w:szCs w:val="20"/>
          <w:lang w:eastAsia="en-GB"/>
        </w:rPr>
        <w:t>Economy</w:t>
      </w:r>
      <w:r w:rsidRPr="00456F2A">
        <w:rPr>
          <w:rFonts w:ascii="Arial" w:eastAsia="Times New Roman" w:hAnsi="Arial" w:cs="Arial"/>
          <w:color w:val="222222"/>
          <w:sz w:val="24"/>
          <w:szCs w:val="24"/>
          <w:lang w:eastAsia="en-GB"/>
        </w:rPr>
        <w:t>: </w:t>
      </w:r>
      <w:r w:rsidRPr="00456F2A">
        <w:rPr>
          <w:rFonts w:ascii="Times New Roman" w:eastAsia="Times New Roman" w:hAnsi="Times New Roman" w:cs="Times New Roman"/>
          <w:color w:val="222222"/>
          <w:sz w:val="20"/>
          <w:szCs w:val="20"/>
          <w:lang w:eastAsia="en-GB"/>
        </w:rPr>
        <w:t>In 2019, the economy is forecast to grow 2.5%, underpinned by strong household and business confidence. However, trade policy uncertainty is a key risk, which may accelerate a downturn more quickly than expected in the face of current economic strength.</w:t>
      </w:r>
    </w:p>
    <w:p w:rsidR="00456F2A" w:rsidRPr="00456F2A" w:rsidRDefault="00456F2A" w:rsidP="00456F2A">
      <w:pPr>
        <w:numPr>
          <w:ilvl w:val="0"/>
          <w:numId w:val="1"/>
        </w:numPr>
        <w:shd w:val="clear" w:color="auto" w:fill="FFFFFF"/>
        <w:spacing w:after="0" w:line="240" w:lineRule="auto"/>
        <w:ind w:left="945"/>
        <w:rPr>
          <w:rFonts w:ascii="Arial" w:eastAsia="Times New Roman" w:hAnsi="Arial" w:cs="Arial"/>
          <w:color w:val="222222"/>
          <w:sz w:val="24"/>
          <w:szCs w:val="24"/>
          <w:lang w:eastAsia="en-GB"/>
        </w:rPr>
      </w:pPr>
      <w:r w:rsidRPr="00456F2A">
        <w:rPr>
          <w:rFonts w:ascii="Times New Roman" w:eastAsia="Times New Roman" w:hAnsi="Times New Roman" w:cs="Times New Roman"/>
          <w:b/>
          <w:bCs/>
          <w:color w:val="222222"/>
          <w:sz w:val="20"/>
          <w:szCs w:val="20"/>
          <w:lang w:eastAsia="en-GB"/>
        </w:rPr>
        <w:t>Insolvencies</w:t>
      </w:r>
      <w:r w:rsidRPr="00456F2A">
        <w:rPr>
          <w:rFonts w:ascii="Arial" w:eastAsia="Times New Roman" w:hAnsi="Arial" w:cs="Arial"/>
          <w:color w:val="222222"/>
          <w:sz w:val="24"/>
          <w:szCs w:val="24"/>
          <w:lang w:eastAsia="en-GB"/>
        </w:rPr>
        <w:t>: </w:t>
      </w:r>
      <w:r w:rsidRPr="00456F2A">
        <w:rPr>
          <w:rFonts w:ascii="Times New Roman" w:eastAsia="Times New Roman" w:hAnsi="Times New Roman" w:cs="Times New Roman"/>
          <w:color w:val="222222"/>
          <w:sz w:val="20"/>
          <w:szCs w:val="20"/>
          <w:lang w:eastAsia="en-GB"/>
        </w:rPr>
        <w:t>In 2018, businesses benefited from robust economic growth, tax reforms and buoyant business confidence, leading to a 4% decrease in insolvencies. However, US business insolvencies are forecast to level off in 2019.</w:t>
      </w:r>
    </w:p>
    <w:p w:rsidR="00456F2A" w:rsidRPr="00456F2A" w:rsidRDefault="00456F2A" w:rsidP="00456F2A">
      <w:pPr>
        <w:numPr>
          <w:ilvl w:val="0"/>
          <w:numId w:val="1"/>
        </w:numPr>
        <w:shd w:val="clear" w:color="auto" w:fill="FFFFFF"/>
        <w:spacing w:after="0" w:line="240" w:lineRule="auto"/>
        <w:ind w:left="945"/>
        <w:rPr>
          <w:rFonts w:ascii="Arial" w:eastAsia="Times New Roman" w:hAnsi="Arial" w:cs="Arial"/>
          <w:color w:val="222222"/>
          <w:sz w:val="24"/>
          <w:szCs w:val="24"/>
          <w:lang w:eastAsia="en-GB"/>
        </w:rPr>
      </w:pPr>
      <w:r w:rsidRPr="00456F2A">
        <w:rPr>
          <w:rFonts w:ascii="Times New Roman" w:eastAsia="Times New Roman" w:hAnsi="Times New Roman" w:cs="Times New Roman"/>
          <w:b/>
          <w:bCs/>
          <w:color w:val="222222"/>
          <w:sz w:val="20"/>
          <w:szCs w:val="20"/>
          <w:lang w:eastAsia="en-GB"/>
        </w:rPr>
        <w:t>Strongest performing sectors</w:t>
      </w:r>
      <w:r w:rsidRPr="00456F2A">
        <w:rPr>
          <w:rFonts w:ascii="Times New Roman" w:eastAsia="Times New Roman" w:hAnsi="Times New Roman" w:cs="Times New Roman"/>
          <w:color w:val="222222"/>
          <w:sz w:val="20"/>
          <w:szCs w:val="20"/>
          <w:lang w:eastAsia="en-GB"/>
        </w:rPr>
        <w:t>: Chemicals/Pharma, Electronics/ICT, Financial Services and Services (Good)</w:t>
      </w:r>
    </w:p>
    <w:p w:rsidR="00456F2A" w:rsidRPr="00456F2A" w:rsidRDefault="00456F2A" w:rsidP="00456F2A">
      <w:pPr>
        <w:numPr>
          <w:ilvl w:val="0"/>
          <w:numId w:val="1"/>
        </w:numPr>
        <w:shd w:val="clear" w:color="auto" w:fill="FFFFFF"/>
        <w:spacing w:after="0" w:line="240" w:lineRule="auto"/>
        <w:ind w:left="945"/>
        <w:rPr>
          <w:rFonts w:ascii="Arial" w:eastAsia="Times New Roman" w:hAnsi="Arial" w:cs="Arial"/>
          <w:color w:val="222222"/>
          <w:sz w:val="24"/>
          <w:szCs w:val="24"/>
          <w:lang w:eastAsia="en-GB"/>
        </w:rPr>
      </w:pPr>
      <w:r w:rsidRPr="00456F2A">
        <w:rPr>
          <w:rFonts w:ascii="Times New Roman" w:eastAsia="Times New Roman" w:hAnsi="Times New Roman" w:cs="Times New Roman"/>
          <w:b/>
          <w:bCs/>
          <w:color w:val="222222"/>
          <w:sz w:val="20"/>
          <w:szCs w:val="20"/>
          <w:lang w:eastAsia="en-GB"/>
        </w:rPr>
        <w:t>Weakest performing sectors</w:t>
      </w:r>
      <w:r w:rsidRPr="00456F2A">
        <w:rPr>
          <w:rFonts w:ascii="Times New Roman" w:eastAsia="Times New Roman" w:hAnsi="Times New Roman" w:cs="Times New Roman"/>
          <w:color w:val="222222"/>
          <w:sz w:val="20"/>
          <w:szCs w:val="20"/>
          <w:lang w:eastAsia="en-GB"/>
        </w:rPr>
        <w:t>: Paper (Poor)</w:t>
      </w:r>
    </w:p>
    <w:p w:rsidR="00456F2A" w:rsidRPr="00456F2A" w:rsidRDefault="00456F2A" w:rsidP="00456F2A">
      <w:pPr>
        <w:shd w:val="clear" w:color="auto" w:fill="FFFFFF"/>
        <w:spacing w:before="100" w:beforeAutospacing="1" w:after="100" w:afterAutospacing="1" w:line="224" w:lineRule="atLeast"/>
        <w:ind w:left="426"/>
        <w:rPr>
          <w:rFonts w:ascii="Arial" w:eastAsia="Times New Roman" w:hAnsi="Arial" w:cs="Arial"/>
          <w:color w:val="222222"/>
          <w:sz w:val="24"/>
          <w:szCs w:val="24"/>
          <w:lang w:eastAsia="en-GB"/>
        </w:rPr>
      </w:pPr>
      <w:r w:rsidRPr="00456F2A">
        <w:rPr>
          <w:rFonts w:ascii="Arial" w:eastAsia="Times New Roman" w:hAnsi="Arial" w:cs="Arial"/>
          <w:color w:val="222222"/>
          <w:sz w:val="24"/>
          <w:szCs w:val="24"/>
          <w:lang w:eastAsia="en-GB"/>
        </w:rPr>
        <w:t> </w:t>
      </w:r>
    </w:p>
    <w:p w:rsidR="00456F2A" w:rsidRPr="00456F2A" w:rsidRDefault="00456F2A" w:rsidP="00456F2A">
      <w:pPr>
        <w:shd w:val="clear" w:color="auto" w:fill="FFFFFF"/>
        <w:spacing w:before="100" w:beforeAutospacing="1" w:after="100" w:afterAutospacing="1" w:line="224" w:lineRule="atLeast"/>
        <w:rPr>
          <w:rFonts w:ascii="Arial" w:eastAsia="Times New Roman" w:hAnsi="Arial" w:cs="Arial"/>
          <w:color w:val="222222"/>
          <w:sz w:val="24"/>
          <w:szCs w:val="24"/>
          <w:lang w:eastAsia="en-GB"/>
        </w:rPr>
      </w:pPr>
      <w:r w:rsidRPr="00456F2A">
        <w:rPr>
          <w:rFonts w:ascii="Times New Roman" w:eastAsia="Times New Roman" w:hAnsi="Times New Roman" w:cs="Times New Roman"/>
          <w:b/>
          <w:bCs/>
          <w:color w:val="222222"/>
          <w:sz w:val="20"/>
          <w:szCs w:val="20"/>
          <w:lang w:eastAsia="en-GB"/>
        </w:rPr>
        <w:t>Canada:</w:t>
      </w:r>
    </w:p>
    <w:p w:rsidR="00456F2A" w:rsidRPr="00456F2A" w:rsidRDefault="00456F2A" w:rsidP="00456F2A">
      <w:pPr>
        <w:numPr>
          <w:ilvl w:val="0"/>
          <w:numId w:val="2"/>
        </w:numPr>
        <w:shd w:val="clear" w:color="auto" w:fill="FFFFFF"/>
        <w:spacing w:after="0" w:line="240" w:lineRule="auto"/>
        <w:ind w:left="945"/>
        <w:rPr>
          <w:rFonts w:ascii="Arial" w:eastAsia="Times New Roman" w:hAnsi="Arial" w:cs="Arial"/>
          <w:color w:val="222222"/>
          <w:sz w:val="24"/>
          <w:szCs w:val="24"/>
          <w:lang w:eastAsia="en-GB"/>
        </w:rPr>
      </w:pPr>
      <w:r w:rsidRPr="00456F2A">
        <w:rPr>
          <w:rFonts w:ascii="Times New Roman" w:eastAsia="Times New Roman" w:hAnsi="Times New Roman" w:cs="Times New Roman"/>
          <w:b/>
          <w:bCs/>
          <w:color w:val="222222"/>
          <w:sz w:val="20"/>
          <w:szCs w:val="20"/>
          <w:lang w:eastAsia="en-GB"/>
        </w:rPr>
        <w:t>Economy</w:t>
      </w:r>
      <w:r w:rsidRPr="00456F2A">
        <w:rPr>
          <w:rFonts w:ascii="Arial" w:eastAsia="Times New Roman" w:hAnsi="Arial" w:cs="Arial"/>
          <w:color w:val="222222"/>
          <w:sz w:val="24"/>
          <w:szCs w:val="24"/>
          <w:lang w:eastAsia="en-GB"/>
        </w:rPr>
        <w:t>: </w:t>
      </w:r>
      <w:r w:rsidRPr="00456F2A">
        <w:rPr>
          <w:rFonts w:ascii="Times New Roman" w:eastAsia="Times New Roman" w:hAnsi="Times New Roman" w:cs="Times New Roman"/>
          <w:color w:val="222222"/>
          <w:sz w:val="20"/>
          <w:szCs w:val="20"/>
          <w:lang w:eastAsia="en-GB"/>
        </w:rPr>
        <w:t>In 2019, GDP is forecast to grow below 2% as export, household consumption and investment growth further ease. However, the Canadian economy should still experience positive momentum, with low unemployment, manageable inflation and rising, albeit historically low, interest rates.</w:t>
      </w:r>
    </w:p>
    <w:p w:rsidR="00456F2A" w:rsidRPr="00456F2A" w:rsidRDefault="00456F2A" w:rsidP="00456F2A">
      <w:pPr>
        <w:numPr>
          <w:ilvl w:val="0"/>
          <w:numId w:val="2"/>
        </w:numPr>
        <w:shd w:val="clear" w:color="auto" w:fill="FFFFFF"/>
        <w:spacing w:after="0" w:line="240" w:lineRule="auto"/>
        <w:ind w:left="945"/>
        <w:rPr>
          <w:rFonts w:ascii="Arial" w:eastAsia="Times New Roman" w:hAnsi="Arial" w:cs="Arial"/>
          <w:color w:val="222222"/>
          <w:sz w:val="24"/>
          <w:szCs w:val="24"/>
          <w:lang w:eastAsia="en-GB"/>
        </w:rPr>
      </w:pPr>
      <w:r w:rsidRPr="00456F2A">
        <w:rPr>
          <w:rFonts w:ascii="Times New Roman" w:eastAsia="Times New Roman" w:hAnsi="Times New Roman" w:cs="Times New Roman"/>
          <w:b/>
          <w:bCs/>
          <w:color w:val="222222"/>
          <w:sz w:val="20"/>
          <w:szCs w:val="20"/>
          <w:lang w:eastAsia="en-GB"/>
        </w:rPr>
        <w:lastRenderedPageBreak/>
        <w:t>Insolvencies</w:t>
      </w:r>
      <w:r w:rsidRPr="00456F2A">
        <w:rPr>
          <w:rFonts w:ascii="Arial" w:eastAsia="Times New Roman" w:hAnsi="Arial" w:cs="Arial"/>
          <w:color w:val="222222"/>
          <w:sz w:val="24"/>
          <w:szCs w:val="24"/>
          <w:lang w:eastAsia="en-GB"/>
        </w:rPr>
        <w:t>: </w:t>
      </w:r>
      <w:r w:rsidRPr="00456F2A">
        <w:rPr>
          <w:rFonts w:ascii="Times New Roman" w:eastAsia="Times New Roman" w:hAnsi="Times New Roman" w:cs="Times New Roman"/>
          <w:color w:val="222222"/>
          <w:sz w:val="20"/>
          <w:szCs w:val="20"/>
          <w:lang w:eastAsia="en-GB"/>
        </w:rPr>
        <w:t>After decreases of more than 5% in 2016 and 2017, the number of corporate bankruptcies is expected to level-off in 2018 and 2019. This is mainly due to lower economic growth and higher interest rates.</w:t>
      </w:r>
    </w:p>
    <w:p w:rsidR="00456F2A" w:rsidRPr="00456F2A" w:rsidRDefault="00456F2A" w:rsidP="00456F2A">
      <w:pPr>
        <w:numPr>
          <w:ilvl w:val="0"/>
          <w:numId w:val="2"/>
        </w:numPr>
        <w:shd w:val="clear" w:color="auto" w:fill="FFFFFF"/>
        <w:spacing w:after="0" w:line="240" w:lineRule="auto"/>
        <w:ind w:left="945"/>
        <w:rPr>
          <w:rFonts w:ascii="Arial" w:eastAsia="Times New Roman" w:hAnsi="Arial" w:cs="Arial"/>
          <w:color w:val="222222"/>
          <w:sz w:val="24"/>
          <w:szCs w:val="24"/>
          <w:lang w:eastAsia="en-GB"/>
        </w:rPr>
      </w:pPr>
      <w:r w:rsidRPr="00456F2A">
        <w:rPr>
          <w:rFonts w:ascii="Times New Roman" w:eastAsia="Times New Roman" w:hAnsi="Times New Roman" w:cs="Times New Roman"/>
          <w:b/>
          <w:bCs/>
          <w:color w:val="222222"/>
          <w:sz w:val="20"/>
          <w:szCs w:val="20"/>
          <w:lang w:eastAsia="en-GB"/>
        </w:rPr>
        <w:t>Strongest performing sectors</w:t>
      </w:r>
      <w:r w:rsidRPr="00456F2A">
        <w:rPr>
          <w:rFonts w:ascii="Times New Roman" w:eastAsia="Times New Roman" w:hAnsi="Times New Roman" w:cs="Times New Roman"/>
          <w:color w:val="222222"/>
          <w:sz w:val="20"/>
          <w:szCs w:val="20"/>
          <w:lang w:eastAsia="en-GB"/>
        </w:rPr>
        <w:t>: Agriculture and Financial Services (Excellent), Food and Services (Good)</w:t>
      </w:r>
    </w:p>
    <w:p w:rsidR="00456F2A" w:rsidRPr="00456F2A" w:rsidRDefault="00456F2A" w:rsidP="00456F2A">
      <w:pPr>
        <w:numPr>
          <w:ilvl w:val="0"/>
          <w:numId w:val="2"/>
        </w:numPr>
        <w:shd w:val="clear" w:color="auto" w:fill="FFFFFF"/>
        <w:spacing w:after="0" w:line="240" w:lineRule="auto"/>
        <w:ind w:left="945"/>
        <w:rPr>
          <w:rFonts w:ascii="Arial" w:eastAsia="Times New Roman" w:hAnsi="Arial" w:cs="Arial"/>
          <w:color w:val="222222"/>
          <w:sz w:val="24"/>
          <w:szCs w:val="24"/>
          <w:lang w:eastAsia="en-GB"/>
        </w:rPr>
      </w:pPr>
      <w:r w:rsidRPr="00456F2A">
        <w:rPr>
          <w:rFonts w:ascii="Times New Roman" w:eastAsia="Times New Roman" w:hAnsi="Times New Roman" w:cs="Times New Roman"/>
          <w:b/>
          <w:bCs/>
          <w:color w:val="222222"/>
          <w:sz w:val="20"/>
          <w:szCs w:val="20"/>
          <w:lang w:eastAsia="en-GB"/>
        </w:rPr>
        <w:t>Weakest performing sectors</w:t>
      </w:r>
      <w:r w:rsidRPr="00456F2A">
        <w:rPr>
          <w:rFonts w:ascii="Times New Roman" w:eastAsia="Times New Roman" w:hAnsi="Times New Roman" w:cs="Times New Roman"/>
          <w:color w:val="222222"/>
          <w:sz w:val="20"/>
          <w:szCs w:val="20"/>
          <w:lang w:eastAsia="en-GB"/>
        </w:rPr>
        <w:t>: Textiles (Bleak) and Paper (Poor)</w:t>
      </w:r>
    </w:p>
    <w:p w:rsidR="00456F2A" w:rsidRPr="00456F2A" w:rsidRDefault="00456F2A" w:rsidP="00456F2A">
      <w:pPr>
        <w:shd w:val="clear" w:color="auto" w:fill="FFFFFF"/>
        <w:spacing w:before="100" w:beforeAutospacing="1" w:after="100" w:afterAutospacing="1" w:line="224" w:lineRule="atLeast"/>
        <w:rPr>
          <w:rFonts w:ascii="Arial" w:eastAsia="Times New Roman" w:hAnsi="Arial" w:cs="Arial"/>
          <w:color w:val="222222"/>
          <w:sz w:val="24"/>
          <w:szCs w:val="24"/>
          <w:lang w:eastAsia="en-GB"/>
        </w:rPr>
      </w:pPr>
      <w:r w:rsidRPr="00456F2A">
        <w:rPr>
          <w:rFonts w:ascii="Arial" w:eastAsia="Times New Roman" w:hAnsi="Arial" w:cs="Arial"/>
          <w:color w:val="222222"/>
          <w:sz w:val="24"/>
          <w:szCs w:val="24"/>
          <w:lang w:eastAsia="en-GB"/>
        </w:rPr>
        <w:t> </w:t>
      </w:r>
    </w:p>
    <w:p w:rsidR="00456F2A" w:rsidRPr="00456F2A" w:rsidRDefault="00456F2A" w:rsidP="00456F2A">
      <w:pPr>
        <w:shd w:val="clear" w:color="auto" w:fill="FFFFFF"/>
        <w:spacing w:before="100" w:beforeAutospacing="1" w:after="100" w:afterAutospacing="1" w:line="224" w:lineRule="atLeast"/>
        <w:ind w:left="360"/>
        <w:rPr>
          <w:rFonts w:ascii="Arial" w:eastAsia="Times New Roman" w:hAnsi="Arial" w:cs="Arial"/>
          <w:color w:val="222222"/>
          <w:sz w:val="24"/>
          <w:szCs w:val="24"/>
          <w:lang w:eastAsia="en-GB"/>
        </w:rPr>
      </w:pPr>
      <w:r w:rsidRPr="00456F2A">
        <w:rPr>
          <w:rFonts w:ascii="Arial" w:eastAsia="Times New Roman" w:hAnsi="Arial" w:cs="Arial"/>
          <w:color w:val="222222"/>
          <w:sz w:val="24"/>
          <w:szCs w:val="24"/>
          <w:lang w:eastAsia="en-GB"/>
        </w:rPr>
        <w:t> </w:t>
      </w:r>
    </w:p>
    <w:p w:rsidR="00456F2A" w:rsidRPr="00456F2A" w:rsidRDefault="00456F2A" w:rsidP="00456F2A">
      <w:pPr>
        <w:shd w:val="clear" w:color="auto" w:fill="FFFFFF"/>
        <w:spacing w:before="100" w:beforeAutospacing="1" w:after="100" w:afterAutospacing="1" w:line="224" w:lineRule="atLeast"/>
        <w:rPr>
          <w:rFonts w:ascii="Arial" w:eastAsia="Times New Roman" w:hAnsi="Arial" w:cs="Arial"/>
          <w:color w:val="222222"/>
          <w:sz w:val="24"/>
          <w:szCs w:val="24"/>
          <w:lang w:eastAsia="en-GB"/>
        </w:rPr>
      </w:pPr>
      <w:r w:rsidRPr="00456F2A">
        <w:rPr>
          <w:rFonts w:ascii="Times New Roman" w:eastAsia="Times New Roman" w:hAnsi="Times New Roman" w:cs="Times New Roman"/>
          <w:b/>
          <w:bCs/>
          <w:color w:val="222222"/>
          <w:sz w:val="20"/>
          <w:szCs w:val="20"/>
          <w:lang w:eastAsia="en-GB"/>
        </w:rPr>
        <w:t>Mexico</w:t>
      </w:r>
      <w:r w:rsidRPr="00456F2A">
        <w:rPr>
          <w:rFonts w:ascii="Arial" w:eastAsia="Times New Roman" w:hAnsi="Arial" w:cs="Arial"/>
          <w:color w:val="222222"/>
          <w:sz w:val="24"/>
          <w:szCs w:val="24"/>
          <w:lang w:eastAsia="en-GB"/>
        </w:rPr>
        <w:t>:</w:t>
      </w:r>
    </w:p>
    <w:p w:rsidR="00456F2A" w:rsidRPr="00456F2A" w:rsidRDefault="00456F2A" w:rsidP="00456F2A">
      <w:pPr>
        <w:numPr>
          <w:ilvl w:val="0"/>
          <w:numId w:val="3"/>
        </w:numPr>
        <w:shd w:val="clear" w:color="auto" w:fill="FFFFFF"/>
        <w:spacing w:after="0" w:line="240" w:lineRule="auto"/>
        <w:ind w:left="945"/>
        <w:rPr>
          <w:rFonts w:ascii="Arial" w:eastAsia="Times New Roman" w:hAnsi="Arial" w:cs="Arial"/>
          <w:color w:val="222222"/>
          <w:sz w:val="24"/>
          <w:szCs w:val="24"/>
          <w:lang w:eastAsia="en-GB"/>
        </w:rPr>
      </w:pPr>
      <w:r w:rsidRPr="00456F2A">
        <w:rPr>
          <w:rFonts w:ascii="Times New Roman" w:eastAsia="Times New Roman" w:hAnsi="Times New Roman" w:cs="Times New Roman"/>
          <w:b/>
          <w:bCs/>
          <w:color w:val="222222"/>
          <w:sz w:val="20"/>
          <w:szCs w:val="20"/>
          <w:lang w:eastAsia="en-GB"/>
        </w:rPr>
        <w:t>Economy</w:t>
      </w:r>
      <w:r w:rsidRPr="00456F2A">
        <w:rPr>
          <w:rFonts w:ascii="Arial" w:eastAsia="Times New Roman" w:hAnsi="Arial" w:cs="Arial"/>
          <w:color w:val="222222"/>
          <w:sz w:val="24"/>
          <w:szCs w:val="24"/>
          <w:lang w:eastAsia="en-GB"/>
        </w:rPr>
        <w:t>: </w:t>
      </w:r>
      <w:r w:rsidRPr="00456F2A">
        <w:rPr>
          <w:rFonts w:ascii="Times New Roman" w:eastAsia="Times New Roman" w:hAnsi="Times New Roman" w:cs="Times New Roman"/>
          <w:color w:val="222222"/>
          <w:sz w:val="20"/>
          <w:szCs w:val="20"/>
          <w:lang w:eastAsia="en-GB"/>
        </w:rPr>
        <w:t>Since 1994, average annual real GDP growth was just 2.6%, mainly due to low investments and weak productivity. While uncertainty about the future trade relationship with the US has eased, economic policy uncertainty has increased, which could further dampen investments in 2019. Consumer confidence has decreased, which is expected to weigh negatively on forward consumption growth.</w:t>
      </w:r>
    </w:p>
    <w:p w:rsidR="00456F2A" w:rsidRPr="00456F2A" w:rsidRDefault="00456F2A" w:rsidP="00456F2A">
      <w:pPr>
        <w:numPr>
          <w:ilvl w:val="0"/>
          <w:numId w:val="3"/>
        </w:numPr>
        <w:shd w:val="clear" w:color="auto" w:fill="FFFFFF"/>
        <w:spacing w:after="0" w:line="240" w:lineRule="auto"/>
        <w:ind w:left="945"/>
        <w:rPr>
          <w:rFonts w:ascii="Arial" w:eastAsia="Times New Roman" w:hAnsi="Arial" w:cs="Arial"/>
          <w:color w:val="222222"/>
          <w:sz w:val="24"/>
          <w:szCs w:val="24"/>
          <w:lang w:eastAsia="en-GB"/>
        </w:rPr>
      </w:pPr>
      <w:r w:rsidRPr="00456F2A">
        <w:rPr>
          <w:rFonts w:ascii="Times New Roman" w:eastAsia="Times New Roman" w:hAnsi="Times New Roman" w:cs="Times New Roman"/>
          <w:b/>
          <w:bCs/>
          <w:color w:val="222222"/>
          <w:sz w:val="20"/>
          <w:szCs w:val="20"/>
          <w:lang w:eastAsia="en-GB"/>
        </w:rPr>
        <w:t>Insolvencies</w:t>
      </w:r>
      <w:r w:rsidRPr="00456F2A">
        <w:rPr>
          <w:rFonts w:ascii="Arial" w:eastAsia="Times New Roman" w:hAnsi="Arial" w:cs="Arial"/>
          <w:color w:val="222222"/>
          <w:sz w:val="24"/>
          <w:szCs w:val="24"/>
          <w:lang w:eastAsia="en-GB"/>
        </w:rPr>
        <w:t>: </w:t>
      </w:r>
      <w:r w:rsidRPr="00456F2A">
        <w:rPr>
          <w:rFonts w:ascii="Times New Roman" w:eastAsia="Times New Roman" w:hAnsi="Times New Roman" w:cs="Times New Roman"/>
          <w:color w:val="222222"/>
          <w:sz w:val="20"/>
          <w:szCs w:val="20"/>
          <w:lang w:eastAsia="en-GB"/>
        </w:rPr>
        <w:t xml:space="preserve">Despite the ongoing political and economic uncertainties, Mexico seems to be </w:t>
      </w:r>
      <w:proofErr w:type="gramStart"/>
      <w:r w:rsidRPr="00456F2A">
        <w:rPr>
          <w:rFonts w:ascii="Times New Roman" w:eastAsia="Times New Roman" w:hAnsi="Times New Roman" w:cs="Times New Roman"/>
          <w:color w:val="222222"/>
          <w:sz w:val="20"/>
          <w:szCs w:val="20"/>
          <w:lang w:eastAsia="en-GB"/>
        </w:rPr>
        <w:t>fairly resilient</w:t>
      </w:r>
      <w:proofErr w:type="gramEnd"/>
      <w:r w:rsidRPr="00456F2A">
        <w:rPr>
          <w:rFonts w:ascii="Times New Roman" w:eastAsia="Times New Roman" w:hAnsi="Times New Roman" w:cs="Times New Roman"/>
          <w:color w:val="222222"/>
          <w:sz w:val="20"/>
          <w:szCs w:val="20"/>
          <w:lang w:eastAsia="en-GB"/>
        </w:rPr>
        <w:t xml:space="preserve"> due mainly to strong economic fundamentals. Any steep deterioration of the economy currently remains unlikely.</w:t>
      </w:r>
    </w:p>
    <w:p w:rsidR="00456F2A" w:rsidRPr="00456F2A" w:rsidRDefault="00456F2A" w:rsidP="00456F2A">
      <w:pPr>
        <w:numPr>
          <w:ilvl w:val="0"/>
          <w:numId w:val="3"/>
        </w:numPr>
        <w:shd w:val="clear" w:color="auto" w:fill="FFFFFF"/>
        <w:spacing w:after="0" w:line="240" w:lineRule="auto"/>
        <w:ind w:left="945"/>
        <w:rPr>
          <w:rFonts w:ascii="Arial" w:eastAsia="Times New Roman" w:hAnsi="Arial" w:cs="Arial"/>
          <w:color w:val="222222"/>
          <w:sz w:val="24"/>
          <w:szCs w:val="24"/>
          <w:lang w:eastAsia="en-GB"/>
        </w:rPr>
      </w:pPr>
      <w:r w:rsidRPr="00456F2A">
        <w:rPr>
          <w:rFonts w:ascii="Times New Roman" w:eastAsia="Times New Roman" w:hAnsi="Times New Roman" w:cs="Times New Roman"/>
          <w:b/>
          <w:bCs/>
          <w:color w:val="222222"/>
          <w:sz w:val="20"/>
          <w:szCs w:val="20"/>
          <w:lang w:eastAsia="en-GB"/>
        </w:rPr>
        <w:t>Strongest performing sectors</w:t>
      </w:r>
      <w:r w:rsidRPr="00456F2A">
        <w:rPr>
          <w:rFonts w:ascii="Times New Roman" w:eastAsia="Times New Roman" w:hAnsi="Times New Roman" w:cs="Times New Roman"/>
          <w:color w:val="222222"/>
          <w:sz w:val="20"/>
          <w:szCs w:val="20"/>
          <w:lang w:eastAsia="en-GB"/>
        </w:rPr>
        <w:t>: Automotive/Transport, Financial Services, Food, Paper, Services (Good)</w:t>
      </w:r>
    </w:p>
    <w:p w:rsidR="00456F2A" w:rsidRPr="00456F2A" w:rsidRDefault="00456F2A" w:rsidP="00456F2A">
      <w:pPr>
        <w:numPr>
          <w:ilvl w:val="0"/>
          <w:numId w:val="3"/>
        </w:numPr>
        <w:shd w:val="clear" w:color="auto" w:fill="FFFFFF"/>
        <w:spacing w:after="0" w:line="240" w:lineRule="auto"/>
        <w:ind w:left="945"/>
        <w:rPr>
          <w:rFonts w:ascii="Arial" w:eastAsia="Times New Roman" w:hAnsi="Arial" w:cs="Arial"/>
          <w:color w:val="222222"/>
          <w:sz w:val="24"/>
          <w:szCs w:val="24"/>
          <w:lang w:eastAsia="en-GB"/>
        </w:rPr>
      </w:pPr>
      <w:r w:rsidRPr="00456F2A">
        <w:rPr>
          <w:rFonts w:ascii="Times New Roman" w:eastAsia="Times New Roman" w:hAnsi="Times New Roman" w:cs="Times New Roman"/>
          <w:b/>
          <w:bCs/>
          <w:color w:val="222222"/>
          <w:sz w:val="20"/>
          <w:szCs w:val="20"/>
          <w:lang w:eastAsia="en-GB"/>
        </w:rPr>
        <w:t>Weakest performing sectors</w:t>
      </w:r>
      <w:r w:rsidRPr="00456F2A">
        <w:rPr>
          <w:rFonts w:ascii="Times New Roman" w:eastAsia="Times New Roman" w:hAnsi="Times New Roman" w:cs="Times New Roman"/>
          <w:color w:val="222222"/>
          <w:sz w:val="20"/>
          <w:szCs w:val="20"/>
          <w:lang w:eastAsia="en-GB"/>
        </w:rPr>
        <w:t>: Construction, Metals, Steel and Textiles (Poor)</w:t>
      </w:r>
    </w:p>
    <w:p w:rsidR="00456F2A" w:rsidRPr="00456F2A" w:rsidRDefault="00456F2A" w:rsidP="00456F2A">
      <w:pPr>
        <w:shd w:val="clear" w:color="auto" w:fill="FFFFFF"/>
        <w:spacing w:before="100" w:beforeAutospacing="1" w:after="100" w:afterAutospacing="1" w:line="224" w:lineRule="atLeast"/>
        <w:rPr>
          <w:rFonts w:ascii="Arial" w:eastAsia="Times New Roman" w:hAnsi="Arial" w:cs="Arial"/>
          <w:color w:val="222222"/>
          <w:sz w:val="24"/>
          <w:szCs w:val="24"/>
          <w:lang w:eastAsia="en-GB"/>
        </w:rPr>
      </w:pPr>
      <w:r w:rsidRPr="00456F2A">
        <w:rPr>
          <w:rFonts w:ascii="Arial" w:eastAsia="Times New Roman" w:hAnsi="Arial" w:cs="Arial"/>
          <w:color w:val="222222"/>
          <w:sz w:val="24"/>
          <w:szCs w:val="24"/>
          <w:lang w:eastAsia="en-GB"/>
        </w:rPr>
        <w:t> </w:t>
      </w:r>
    </w:p>
    <w:p w:rsidR="00456F2A" w:rsidRPr="00456F2A" w:rsidRDefault="00456F2A" w:rsidP="00456F2A">
      <w:pPr>
        <w:shd w:val="clear" w:color="auto" w:fill="FFFFFF"/>
        <w:spacing w:before="100" w:beforeAutospacing="1" w:after="100" w:afterAutospacing="1" w:line="224" w:lineRule="atLeast"/>
        <w:rPr>
          <w:rFonts w:ascii="Arial" w:eastAsia="Times New Roman" w:hAnsi="Arial" w:cs="Arial"/>
          <w:color w:val="222222"/>
          <w:sz w:val="24"/>
          <w:szCs w:val="24"/>
          <w:lang w:eastAsia="en-GB"/>
        </w:rPr>
      </w:pPr>
      <w:r w:rsidRPr="00456F2A">
        <w:rPr>
          <w:rFonts w:ascii="Times New Roman" w:eastAsia="Times New Roman" w:hAnsi="Times New Roman" w:cs="Times New Roman"/>
          <w:color w:val="000000"/>
          <w:sz w:val="20"/>
          <w:szCs w:val="20"/>
          <w:shd w:val="clear" w:color="auto" w:fill="FFFFFF"/>
          <w:lang w:eastAsia="en-GB"/>
        </w:rPr>
        <w:t>For more information on Atradius and to access a suite of free economic, country and payment practices reports, </w:t>
      </w:r>
      <w:r w:rsidRPr="00456F2A">
        <w:rPr>
          <w:rFonts w:ascii="Times New Roman" w:eastAsia="Times New Roman" w:hAnsi="Times New Roman" w:cs="Times New Roman"/>
          <w:color w:val="000000"/>
          <w:sz w:val="20"/>
          <w:szCs w:val="20"/>
          <w:lang w:eastAsia="en-GB"/>
        </w:rPr>
        <w:t>visit</w:t>
      </w:r>
      <w:hyperlink r:id="rId7" w:tgtFrame="_blank" w:history="1">
        <w:r w:rsidRPr="00456F2A">
          <w:rPr>
            <w:rFonts w:ascii="Times New Roman" w:eastAsia="Times New Roman" w:hAnsi="Times New Roman" w:cs="Times New Roman"/>
            <w:color w:val="1155CC"/>
            <w:sz w:val="20"/>
            <w:szCs w:val="20"/>
            <w:u w:val="single"/>
            <w:lang w:eastAsia="en-GB"/>
          </w:rPr>
          <w:t>www.atradius.co.uk</w:t>
        </w:r>
      </w:hyperlink>
      <w:r w:rsidRPr="00456F2A">
        <w:rPr>
          <w:rFonts w:ascii="Times New Roman" w:eastAsia="Times New Roman" w:hAnsi="Times New Roman" w:cs="Times New Roman"/>
          <w:color w:val="222222"/>
          <w:sz w:val="20"/>
          <w:szCs w:val="20"/>
          <w:lang w:eastAsia="en-GB"/>
        </w:rPr>
        <w:t> or follow </w:t>
      </w:r>
      <w:hyperlink r:id="rId8" w:tgtFrame="_blank" w:history="1">
        <w:r w:rsidRPr="00456F2A">
          <w:rPr>
            <w:rFonts w:ascii="Times New Roman" w:eastAsia="Times New Roman" w:hAnsi="Times New Roman" w:cs="Times New Roman"/>
            <w:color w:val="1155CC"/>
            <w:sz w:val="20"/>
            <w:szCs w:val="20"/>
            <w:u w:val="single"/>
            <w:lang w:eastAsia="en-GB"/>
          </w:rPr>
          <w:t>@</w:t>
        </w:r>
        <w:proofErr w:type="spellStart"/>
        <w:r w:rsidRPr="00456F2A">
          <w:rPr>
            <w:rFonts w:ascii="Times New Roman" w:eastAsia="Times New Roman" w:hAnsi="Times New Roman" w:cs="Times New Roman"/>
            <w:color w:val="1155CC"/>
            <w:sz w:val="20"/>
            <w:szCs w:val="20"/>
            <w:u w:val="single"/>
            <w:lang w:eastAsia="en-GB"/>
          </w:rPr>
          <w:t>AtradiusUK</w:t>
        </w:r>
        <w:proofErr w:type="spellEnd"/>
      </w:hyperlink>
      <w:r w:rsidRPr="00456F2A">
        <w:rPr>
          <w:rFonts w:ascii="Times New Roman" w:eastAsia="Times New Roman" w:hAnsi="Times New Roman" w:cs="Times New Roman"/>
          <w:color w:val="222222"/>
          <w:sz w:val="20"/>
          <w:szCs w:val="20"/>
          <w:lang w:eastAsia="en-GB"/>
        </w:rPr>
        <w:t> on Twitter and </w:t>
      </w:r>
      <w:proofErr w:type="spellStart"/>
      <w:r w:rsidRPr="00456F2A">
        <w:rPr>
          <w:rFonts w:ascii="Arial" w:eastAsia="Times New Roman" w:hAnsi="Arial" w:cs="Arial"/>
          <w:color w:val="222222"/>
          <w:sz w:val="24"/>
          <w:szCs w:val="24"/>
          <w:lang w:eastAsia="en-GB"/>
        </w:rPr>
        <w:fldChar w:fldCharType="begin"/>
      </w:r>
      <w:r w:rsidRPr="00456F2A">
        <w:rPr>
          <w:rFonts w:ascii="Arial" w:eastAsia="Times New Roman" w:hAnsi="Arial" w:cs="Arial"/>
          <w:color w:val="222222"/>
          <w:sz w:val="24"/>
          <w:szCs w:val="24"/>
          <w:lang w:eastAsia="en-GB"/>
        </w:rPr>
        <w:instrText xml:space="preserve"> HYPERLINK "https://www.linkedin.com/company/atradiusuk/" \t "_blank" </w:instrText>
      </w:r>
      <w:r w:rsidRPr="00456F2A">
        <w:rPr>
          <w:rFonts w:ascii="Arial" w:eastAsia="Times New Roman" w:hAnsi="Arial" w:cs="Arial"/>
          <w:color w:val="222222"/>
          <w:sz w:val="24"/>
          <w:szCs w:val="24"/>
          <w:lang w:eastAsia="en-GB"/>
        </w:rPr>
        <w:fldChar w:fldCharType="separate"/>
      </w:r>
      <w:r w:rsidRPr="00456F2A">
        <w:rPr>
          <w:rFonts w:ascii="Times New Roman" w:eastAsia="Times New Roman" w:hAnsi="Times New Roman" w:cs="Times New Roman"/>
          <w:color w:val="1155CC"/>
          <w:sz w:val="20"/>
          <w:szCs w:val="20"/>
          <w:u w:val="single"/>
          <w:lang w:eastAsia="en-GB"/>
        </w:rPr>
        <w:t>AtradiusUK</w:t>
      </w:r>
      <w:proofErr w:type="spellEnd"/>
      <w:r w:rsidRPr="00456F2A">
        <w:rPr>
          <w:rFonts w:ascii="Arial" w:eastAsia="Times New Roman" w:hAnsi="Arial" w:cs="Arial"/>
          <w:color w:val="222222"/>
          <w:sz w:val="24"/>
          <w:szCs w:val="24"/>
          <w:lang w:eastAsia="en-GB"/>
        </w:rPr>
        <w:fldChar w:fldCharType="end"/>
      </w:r>
      <w:r w:rsidRPr="00456F2A">
        <w:rPr>
          <w:rFonts w:ascii="Times New Roman" w:eastAsia="Times New Roman" w:hAnsi="Times New Roman" w:cs="Times New Roman"/>
          <w:color w:val="222222"/>
          <w:sz w:val="20"/>
          <w:szCs w:val="20"/>
          <w:lang w:eastAsia="en-GB"/>
        </w:rPr>
        <w:t> on LinkedIn</w:t>
      </w:r>
    </w:p>
    <w:p w:rsidR="00765B9B" w:rsidRDefault="00456F2A">
      <w:bookmarkStart w:id="0" w:name="_GoBack"/>
      <w:bookmarkEnd w:id="0"/>
    </w:p>
    <w:sectPr w:rsidR="00765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13E79"/>
    <w:multiLevelType w:val="multilevel"/>
    <w:tmpl w:val="B0F66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A854D7"/>
    <w:multiLevelType w:val="multilevel"/>
    <w:tmpl w:val="04F2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670E9A"/>
    <w:multiLevelType w:val="multilevel"/>
    <w:tmpl w:val="ADC4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2A"/>
    <w:rsid w:val="00456F2A"/>
    <w:rsid w:val="008B11CB"/>
    <w:rsid w:val="009A3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73C9C-B367-4907-B367-14883F3E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F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56F2A"/>
    <w:rPr>
      <w:b/>
      <w:bCs/>
    </w:rPr>
  </w:style>
  <w:style w:type="character" w:styleId="Hyperlink">
    <w:name w:val="Hyperlink"/>
    <w:basedOn w:val="DefaultParagraphFont"/>
    <w:uiPriority w:val="99"/>
    <w:semiHidden/>
    <w:unhideWhenUsed/>
    <w:rsid w:val="00456F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50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AtradiusUK" TargetMode="External"/><Relationship Id="rId3" Type="http://schemas.openxmlformats.org/officeDocument/2006/relationships/settings" Target="settings.xml"/><Relationship Id="rId7" Type="http://schemas.openxmlformats.org/officeDocument/2006/relationships/hyperlink" Target="http://www.atradiu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tradius.co.uk/documents/cr_north_america_feb_2019_eng.pdf" TargetMode="External"/><Relationship Id="rId5" Type="http://schemas.openxmlformats.org/officeDocument/2006/relationships/hyperlink" Target="https://atradius.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2019-05-20T11:04:00Z</dcterms:created>
  <dcterms:modified xsi:type="dcterms:W3CDTF">2019-05-20T11:04:00Z</dcterms:modified>
</cp:coreProperties>
</file>