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7967" w:rsidRPr="00927967" w:rsidRDefault="00927967" w:rsidP="00927967">
      <w:pPr>
        <w:shd w:val="clear" w:color="auto" w:fill="FFFFFF"/>
        <w:spacing w:after="0" w:line="240" w:lineRule="auto"/>
        <w:rPr>
          <w:rFonts w:ascii="Arial" w:eastAsia="Times New Roman" w:hAnsi="Arial" w:cs="Arial"/>
          <w:color w:val="222222"/>
          <w:sz w:val="40"/>
          <w:szCs w:val="40"/>
          <w:lang w:eastAsia="en-GB"/>
        </w:rPr>
      </w:pPr>
      <w:r w:rsidRPr="00927967">
        <w:rPr>
          <w:rFonts w:ascii="Arial" w:eastAsia="Times New Roman" w:hAnsi="Arial" w:cs="Arial"/>
          <w:b/>
          <w:bCs/>
          <w:color w:val="222222"/>
          <w:sz w:val="40"/>
          <w:szCs w:val="40"/>
          <w:lang w:val="en-US" w:eastAsia="en-GB"/>
        </w:rPr>
        <w:t>ADB Trade Finance Program Welcomes New Relationship M</w:t>
      </w:r>
      <w:bookmarkStart w:id="0" w:name="_GoBack"/>
      <w:bookmarkEnd w:id="0"/>
      <w:r w:rsidRPr="00927967">
        <w:rPr>
          <w:rFonts w:ascii="Arial" w:eastAsia="Times New Roman" w:hAnsi="Arial" w:cs="Arial"/>
          <w:b/>
          <w:bCs/>
          <w:color w:val="222222"/>
          <w:sz w:val="40"/>
          <w:szCs w:val="40"/>
          <w:lang w:val="en-US" w:eastAsia="en-GB"/>
        </w:rPr>
        <w:t>anager for </w:t>
      </w:r>
      <w:r w:rsidRPr="00927967">
        <w:rPr>
          <w:rFonts w:ascii="Arial" w:eastAsia="Times New Roman" w:hAnsi="Arial" w:cs="Arial"/>
          <w:b/>
          <w:bCs/>
          <w:color w:val="000000"/>
          <w:sz w:val="40"/>
          <w:szCs w:val="40"/>
          <w:lang w:val="en-US" w:eastAsia="en-GB"/>
        </w:rPr>
        <w:t>Vietnam, Indonesia and the Pacific</w:t>
      </w:r>
    </w:p>
    <w:p w:rsidR="00927967" w:rsidRPr="00927967" w:rsidRDefault="00927967" w:rsidP="00927967">
      <w:pPr>
        <w:shd w:val="clear" w:color="auto" w:fill="FFFFFF"/>
        <w:spacing w:after="0" w:line="240" w:lineRule="auto"/>
        <w:rPr>
          <w:rFonts w:ascii="Arial" w:eastAsia="Times New Roman" w:hAnsi="Arial" w:cs="Arial"/>
          <w:color w:val="222222"/>
          <w:sz w:val="40"/>
          <w:szCs w:val="40"/>
          <w:lang w:eastAsia="en-GB"/>
        </w:rPr>
      </w:pPr>
      <w:r w:rsidRPr="00927967">
        <w:rPr>
          <w:rFonts w:ascii="Arial" w:eastAsia="Times New Roman" w:hAnsi="Arial" w:cs="Arial"/>
          <w:color w:val="222222"/>
          <w:sz w:val="40"/>
          <w:szCs w:val="40"/>
          <w:lang w:val="en-US" w:eastAsia="en-GB"/>
        </w:rPr>
        <w:t> </w:t>
      </w:r>
    </w:p>
    <w:p w:rsidR="00927967" w:rsidRPr="00927967" w:rsidRDefault="00927967" w:rsidP="00927967">
      <w:pPr>
        <w:shd w:val="clear" w:color="auto" w:fill="FFFFFF"/>
        <w:spacing w:after="0" w:line="240" w:lineRule="auto"/>
        <w:rPr>
          <w:rFonts w:ascii="Calibri" w:eastAsia="Times New Roman" w:hAnsi="Calibri" w:cs="Calibri"/>
          <w:color w:val="222222"/>
          <w:sz w:val="40"/>
          <w:szCs w:val="40"/>
          <w:lang w:eastAsia="en-GB"/>
        </w:rPr>
      </w:pPr>
      <w:r w:rsidRPr="00927967">
        <w:rPr>
          <w:rFonts w:ascii="Arial" w:eastAsia="Times New Roman" w:hAnsi="Arial" w:cs="Arial"/>
          <w:color w:val="000000"/>
          <w:sz w:val="40"/>
          <w:szCs w:val="40"/>
          <w:lang w:val="en-PH" w:eastAsia="en-GB"/>
        </w:rPr>
        <w:t xml:space="preserve">ADB's Trade Finance Program (TFP) has announced that Can </w:t>
      </w:r>
      <w:proofErr w:type="spellStart"/>
      <w:r w:rsidRPr="00927967">
        <w:rPr>
          <w:rFonts w:ascii="Arial" w:eastAsia="Times New Roman" w:hAnsi="Arial" w:cs="Arial"/>
          <w:color w:val="000000"/>
          <w:sz w:val="40"/>
          <w:szCs w:val="40"/>
          <w:lang w:val="en-PH" w:eastAsia="en-GB"/>
        </w:rPr>
        <w:t>Sutken</w:t>
      </w:r>
      <w:proofErr w:type="spellEnd"/>
      <w:r w:rsidRPr="00927967">
        <w:rPr>
          <w:rFonts w:ascii="Arial" w:eastAsia="Times New Roman" w:hAnsi="Arial" w:cs="Arial"/>
          <w:color w:val="000000"/>
          <w:sz w:val="40"/>
          <w:szCs w:val="40"/>
          <w:lang w:val="en-PH" w:eastAsia="en-GB"/>
        </w:rPr>
        <w:t xml:space="preserve"> will join the team as Relationship Manager for Vietnam, Indonesia and the Pacific.</w:t>
      </w:r>
      <w:r w:rsidRPr="00927967">
        <w:rPr>
          <w:rFonts w:ascii="Calibri" w:eastAsia="Times New Roman" w:hAnsi="Calibri" w:cs="Calibri"/>
          <w:color w:val="000000"/>
          <w:sz w:val="40"/>
          <w:szCs w:val="40"/>
          <w:lang w:val="en-PH" w:eastAsia="en-GB"/>
        </w:rPr>
        <w:br/>
      </w:r>
      <w:r w:rsidRPr="00927967">
        <w:rPr>
          <w:rFonts w:ascii="Calibri" w:eastAsia="Times New Roman" w:hAnsi="Calibri" w:cs="Calibri"/>
          <w:color w:val="000000"/>
          <w:sz w:val="40"/>
          <w:szCs w:val="40"/>
          <w:lang w:val="en-PH" w:eastAsia="en-GB"/>
        </w:rPr>
        <w:br/>
      </w:r>
      <w:r w:rsidRPr="00927967">
        <w:rPr>
          <w:rFonts w:ascii="Arial" w:eastAsia="Times New Roman" w:hAnsi="Arial" w:cs="Arial"/>
          <w:color w:val="000000"/>
          <w:sz w:val="40"/>
          <w:szCs w:val="40"/>
          <w:lang w:val="en-PH" w:eastAsia="en-GB"/>
        </w:rPr>
        <w:t>"Can brings great experience to the team and we're confident he will help build our business," said Steven Beck, ADB's Head of Trade and Supply Chain Finance.‎ </w:t>
      </w:r>
      <w:r w:rsidRPr="00927967">
        <w:rPr>
          <w:rFonts w:ascii="Calibri" w:eastAsia="Times New Roman" w:hAnsi="Calibri" w:cs="Calibri"/>
          <w:color w:val="000000"/>
          <w:sz w:val="40"/>
          <w:szCs w:val="40"/>
          <w:lang w:val="en-PH" w:eastAsia="en-GB"/>
        </w:rPr>
        <w:br/>
      </w:r>
      <w:r w:rsidRPr="00927967">
        <w:rPr>
          <w:rFonts w:ascii="Arial" w:eastAsia="Times New Roman" w:hAnsi="Arial" w:cs="Arial"/>
          <w:color w:val="000000"/>
          <w:sz w:val="40"/>
          <w:szCs w:val="40"/>
          <w:lang w:val="en-PH" w:eastAsia="en-GB"/>
        </w:rPr>
        <w:br/>
        <w:t>Can has a wealth of experience in trade finance and in relationship management. Prior to joining ADB, he held various positions at Citibank in Turkey and the United Kingdom, most recently as Head of Financial Institutions Risk Distribution for Europe, CIS, Middle East, Pakistan, Turkey, Caucasia and Africa (EMEA).</w:t>
      </w:r>
    </w:p>
    <w:p w:rsidR="00927967" w:rsidRPr="00927967" w:rsidRDefault="00927967" w:rsidP="00927967">
      <w:pPr>
        <w:shd w:val="clear" w:color="auto" w:fill="FFFFFF"/>
        <w:spacing w:after="0" w:line="240" w:lineRule="auto"/>
        <w:rPr>
          <w:rFonts w:ascii="Calibri" w:eastAsia="Times New Roman" w:hAnsi="Calibri" w:cs="Calibri"/>
          <w:color w:val="222222"/>
          <w:sz w:val="40"/>
          <w:szCs w:val="40"/>
          <w:lang w:eastAsia="en-GB"/>
        </w:rPr>
      </w:pPr>
      <w:r w:rsidRPr="00927967">
        <w:rPr>
          <w:rFonts w:ascii="Calibri" w:eastAsia="Times New Roman" w:hAnsi="Calibri" w:cs="Calibri"/>
          <w:color w:val="000000"/>
          <w:sz w:val="40"/>
          <w:szCs w:val="40"/>
          <w:lang w:val="en-PH" w:eastAsia="en-GB"/>
        </w:rPr>
        <w:t> </w:t>
      </w:r>
    </w:p>
    <w:p w:rsidR="00927967" w:rsidRPr="00927967" w:rsidRDefault="00927967" w:rsidP="00927967">
      <w:pPr>
        <w:shd w:val="clear" w:color="auto" w:fill="FFFFFF"/>
        <w:spacing w:after="0" w:line="240" w:lineRule="auto"/>
        <w:rPr>
          <w:rFonts w:ascii="Calibri" w:eastAsia="Times New Roman" w:hAnsi="Calibri" w:cs="Calibri"/>
          <w:color w:val="222222"/>
          <w:sz w:val="40"/>
          <w:szCs w:val="40"/>
          <w:lang w:eastAsia="en-GB"/>
        </w:rPr>
      </w:pPr>
      <w:r w:rsidRPr="00927967">
        <w:rPr>
          <w:rFonts w:ascii="Calibri" w:eastAsia="Times New Roman" w:hAnsi="Calibri" w:cs="Calibri"/>
          <w:color w:val="000000"/>
          <w:sz w:val="40"/>
          <w:szCs w:val="40"/>
          <w:lang w:val="en-PH" w:eastAsia="en-GB"/>
        </w:rPr>
        <w:t xml:space="preserve">In addition to managing ADB’s trade finance business in specific countries, Can will help build ADB’s growing Supply Chain Finance Program with local banks. Can joins a strong team of TFP relationship managers including Janet Hyde (Bhutan, Cambodia, Myanmar, and Sri Lanka), Santosh Pokharel (Bangladesh and Pakistan), and Nana </w:t>
      </w:r>
      <w:proofErr w:type="spellStart"/>
      <w:r w:rsidRPr="00927967">
        <w:rPr>
          <w:rFonts w:ascii="Calibri" w:eastAsia="Times New Roman" w:hAnsi="Calibri" w:cs="Calibri"/>
          <w:color w:val="000000"/>
          <w:sz w:val="40"/>
          <w:szCs w:val="40"/>
          <w:lang w:val="en-PH" w:eastAsia="en-GB"/>
        </w:rPr>
        <w:t>Khurodze</w:t>
      </w:r>
      <w:proofErr w:type="spellEnd"/>
      <w:r w:rsidRPr="00927967">
        <w:rPr>
          <w:rFonts w:ascii="Calibri" w:eastAsia="Times New Roman" w:hAnsi="Calibri" w:cs="Calibri"/>
          <w:color w:val="000000"/>
          <w:sz w:val="40"/>
          <w:szCs w:val="40"/>
          <w:lang w:val="en-PH" w:eastAsia="en-GB"/>
        </w:rPr>
        <w:t xml:space="preserve"> (Armenia, Azerbaijan, </w:t>
      </w:r>
      <w:r w:rsidRPr="00927967">
        <w:rPr>
          <w:rFonts w:ascii="Calibri" w:eastAsia="Times New Roman" w:hAnsi="Calibri" w:cs="Calibri"/>
          <w:color w:val="000000"/>
          <w:sz w:val="40"/>
          <w:szCs w:val="40"/>
          <w:lang w:val="en-PH" w:eastAsia="en-GB"/>
        </w:rPr>
        <w:lastRenderedPageBreak/>
        <w:t xml:space="preserve">Georgia, Kazakhstan, </w:t>
      </w:r>
      <w:proofErr w:type="spellStart"/>
      <w:r w:rsidRPr="00927967">
        <w:rPr>
          <w:rFonts w:ascii="Calibri" w:eastAsia="Times New Roman" w:hAnsi="Calibri" w:cs="Calibri"/>
          <w:color w:val="000000"/>
          <w:sz w:val="40"/>
          <w:szCs w:val="40"/>
          <w:lang w:val="en-PH" w:eastAsia="en-GB"/>
        </w:rPr>
        <w:t>Kyrgyzs</w:t>
      </w:r>
      <w:proofErr w:type="spellEnd"/>
      <w:r w:rsidRPr="00927967">
        <w:rPr>
          <w:rFonts w:ascii="Calibri" w:eastAsia="Times New Roman" w:hAnsi="Calibri" w:cs="Calibri"/>
          <w:color w:val="000000"/>
          <w:sz w:val="40"/>
          <w:szCs w:val="40"/>
          <w:lang w:val="en-PH" w:eastAsia="en-GB"/>
        </w:rPr>
        <w:t xml:space="preserve"> Republic, Mongolia, Tajikistan, and Uzbekistan).</w:t>
      </w:r>
    </w:p>
    <w:p w:rsidR="00927967" w:rsidRPr="00927967" w:rsidRDefault="00927967" w:rsidP="00927967">
      <w:pPr>
        <w:shd w:val="clear" w:color="auto" w:fill="FFFFFF"/>
        <w:spacing w:after="0" w:line="240" w:lineRule="auto"/>
        <w:rPr>
          <w:rFonts w:ascii="Calibri" w:eastAsia="Times New Roman" w:hAnsi="Calibri" w:cs="Calibri"/>
          <w:color w:val="222222"/>
          <w:sz w:val="40"/>
          <w:szCs w:val="40"/>
          <w:lang w:eastAsia="en-GB"/>
        </w:rPr>
      </w:pPr>
      <w:r w:rsidRPr="00927967">
        <w:rPr>
          <w:rFonts w:ascii="Calibri" w:eastAsia="Times New Roman" w:hAnsi="Calibri" w:cs="Calibri"/>
          <w:color w:val="000000"/>
          <w:sz w:val="40"/>
          <w:szCs w:val="40"/>
          <w:lang w:val="en-PH" w:eastAsia="en-GB"/>
        </w:rPr>
        <w:t> </w:t>
      </w:r>
    </w:p>
    <w:p w:rsidR="00927967" w:rsidRPr="00927967" w:rsidRDefault="00927967" w:rsidP="00927967">
      <w:pPr>
        <w:shd w:val="clear" w:color="auto" w:fill="FFFFFF"/>
        <w:spacing w:after="0" w:line="240" w:lineRule="auto"/>
        <w:rPr>
          <w:rFonts w:ascii="Calibri" w:eastAsia="Times New Roman" w:hAnsi="Calibri" w:cs="Calibri"/>
          <w:color w:val="222222"/>
          <w:sz w:val="40"/>
          <w:szCs w:val="40"/>
          <w:lang w:eastAsia="en-GB"/>
        </w:rPr>
      </w:pPr>
      <w:r w:rsidRPr="00927967">
        <w:rPr>
          <w:rFonts w:ascii="Calibri" w:eastAsia="Times New Roman" w:hAnsi="Calibri" w:cs="Calibri"/>
          <w:color w:val="000000"/>
          <w:sz w:val="40"/>
          <w:szCs w:val="40"/>
          <w:lang w:val="en-PH" w:eastAsia="en-GB"/>
        </w:rPr>
        <w:t>The triple-A rated multilateral development bank, through the TFP, provides guarantees and loans within 24-48 hours to banks to support trade. TFP’s business grew over 45% in 2017, guaranteeing or lending to over 3,500 transactions valued at $4.5 billion. Growth in Q1 2018 exceeded 35%. </w:t>
      </w:r>
    </w:p>
    <w:p w:rsidR="005E4AD8" w:rsidRPr="00927967" w:rsidRDefault="005E4AD8">
      <w:pPr>
        <w:rPr>
          <w:sz w:val="40"/>
          <w:szCs w:val="40"/>
        </w:rPr>
      </w:pPr>
    </w:p>
    <w:sectPr w:rsidR="005E4AD8" w:rsidRPr="009279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967"/>
    <w:rsid w:val="00062307"/>
    <w:rsid w:val="005E4AD8"/>
    <w:rsid w:val="009279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DE23B2-117B-4120-BB5E-1C730D9FD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4128447090696737600xmsonormal">
    <w:name w:val="m_-4128447090696737600xmsonormal"/>
    <w:basedOn w:val="Standard"/>
    <w:rsid w:val="0092796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39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217</Words>
  <Characters>1241</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Morris</dc:creator>
  <cp:keywords/>
  <dc:description/>
  <cp:lastModifiedBy>Carl Morris</cp:lastModifiedBy>
  <cp:revision>1</cp:revision>
  <dcterms:created xsi:type="dcterms:W3CDTF">2018-05-09T06:19:00Z</dcterms:created>
  <dcterms:modified xsi:type="dcterms:W3CDTF">2018-05-09T06:34:00Z</dcterms:modified>
</cp:coreProperties>
</file>