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26907E" w14:textId="77777777" w:rsidR="00A73F4D" w:rsidRDefault="00A73F4D" w:rsidP="005F50B0">
      <w:pPr>
        <w:spacing w:line="240" w:lineRule="auto"/>
        <w:rPr>
          <w:sz w:val="20"/>
        </w:rPr>
      </w:pPr>
    </w:p>
    <w:p w14:paraId="7C5E5948" w14:textId="337598E2" w:rsidR="0065419A" w:rsidRPr="00AC755B" w:rsidRDefault="003E1804" w:rsidP="0065419A">
      <w:pPr>
        <w:spacing w:line="240" w:lineRule="auto"/>
        <w:jc w:val="center"/>
        <w:rPr>
          <w:b/>
          <w:sz w:val="28"/>
          <w:szCs w:val="28"/>
        </w:rPr>
      </w:pPr>
      <w:bookmarkStart w:id="0" w:name="_GoBack"/>
      <w:r w:rsidRPr="00AC755B">
        <w:rPr>
          <w:b/>
          <w:sz w:val="28"/>
          <w:szCs w:val="28"/>
        </w:rPr>
        <w:t>ADB Raises Philippines Loans for Infrastructure and Inclusive Finance Programs</w:t>
      </w:r>
    </w:p>
    <w:bookmarkEnd w:id="0"/>
    <w:p w14:paraId="2D827E09" w14:textId="77777777" w:rsidR="0065419A" w:rsidRDefault="0065419A" w:rsidP="0065419A">
      <w:pPr>
        <w:spacing w:line="240" w:lineRule="auto"/>
        <w:jc w:val="center"/>
        <w:rPr>
          <w:b/>
          <w:sz w:val="24"/>
          <w:szCs w:val="24"/>
        </w:rPr>
      </w:pPr>
    </w:p>
    <w:p w14:paraId="5991791A" w14:textId="534B369A" w:rsidR="00B5410E" w:rsidRDefault="00EB40C8" w:rsidP="00AC755B">
      <w:pPr>
        <w:rPr>
          <w:sz w:val="24"/>
          <w:szCs w:val="24"/>
        </w:rPr>
      </w:pPr>
      <w:r>
        <w:rPr>
          <w:sz w:val="24"/>
          <w:szCs w:val="24"/>
        </w:rPr>
        <w:t xml:space="preserve">The </w:t>
      </w:r>
      <w:r w:rsidR="003E1804">
        <w:rPr>
          <w:sz w:val="24"/>
          <w:szCs w:val="24"/>
        </w:rPr>
        <w:t>Asian Development Bank (ADB) continues to raise its lending to the Philippine government</w:t>
      </w:r>
      <w:r w:rsidR="00082D7D">
        <w:rPr>
          <w:sz w:val="24"/>
          <w:szCs w:val="24"/>
        </w:rPr>
        <w:t xml:space="preserve">, with the latest involving </w:t>
      </w:r>
      <w:r w:rsidR="00B5410E">
        <w:rPr>
          <w:sz w:val="24"/>
          <w:szCs w:val="24"/>
        </w:rPr>
        <w:t xml:space="preserve">a US$300M loan </w:t>
      </w:r>
      <w:r w:rsidR="00082D7D">
        <w:rPr>
          <w:sz w:val="24"/>
          <w:szCs w:val="24"/>
        </w:rPr>
        <w:t>for the Expanding Private Participation in Infrastructure Program (EPPIP)</w:t>
      </w:r>
      <w:r w:rsidR="00B5410E">
        <w:rPr>
          <w:sz w:val="24"/>
          <w:szCs w:val="24"/>
        </w:rPr>
        <w:t>,</w:t>
      </w:r>
      <w:r w:rsidR="00082D7D">
        <w:rPr>
          <w:sz w:val="24"/>
          <w:szCs w:val="24"/>
        </w:rPr>
        <w:t xml:space="preserve"> </w:t>
      </w:r>
      <w:r w:rsidR="00B5410E">
        <w:rPr>
          <w:sz w:val="24"/>
          <w:szCs w:val="24"/>
        </w:rPr>
        <w:t>plus</w:t>
      </w:r>
      <w:r w:rsidR="00082D7D">
        <w:rPr>
          <w:sz w:val="24"/>
          <w:szCs w:val="24"/>
        </w:rPr>
        <w:t xml:space="preserve"> </w:t>
      </w:r>
      <w:r w:rsidR="00B5410E">
        <w:rPr>
          <w:sz w:val="24"/>
          <w:szCs w:val="24"/>
        </w:rPr>
        <w:t xml:space="preserve">another US$300M for </w:t>
      </w:r>
      <w:r w:rsidR="00082D7D">
        <w:rPr>
          <w:sz w:val="24"/>
          <w:szCs w:val="24"/>
        </w:rPr>
        <w:t>the Inclusive Finance Development Program (IFDP).</w:t>
      </w:r>
      <w:r w:rsidR="007A30EC">
        <w:rPr>
          <w:sz w:val="24"/>
          <w:szCs w:val="24"/>
        </w:rPr>
        <w:t xml:space="preserve"> </w:t>
      </w:r>
    </w:p>
    <w:p w14:paraId="2411D567" w14:textId="04153AD6" w:rsidR="00B5410E" w:rsidRDefault="00082D7D" w:rsidP="00AC755B">
      <w:pPr>
        <w:rPr>
          <w:sz w:val="24"/>
          <w:szCs w:val="24"/>
        </w:rPr>
      </w:pPr>
      <w:r>
        <w:rPr>
          <w:sz w:val="24"/>
          <w:szCs w:val="24"/>
        </w:rPr>
        <w:t xml:space="preserve">ADB President Takehiko Nakao affirmed that </w:t>
      </w:r>
      <w:r w:rsidR="00B5410E">
        <w:rPr>
          <w:sz w:val="24"/>
          <w:szCs w:val="24"/>
        </w:rPr>
        <w:t xml:space="preserve">ADB’s loan commitments for the Philippines will reach a record $1.3B for 2018. Aside from EPPIP and IFDP, </w:t>
      </w:r>
      <w:r w:rsidR="002711D3">
        <w:rPr>
          <w:sz w:val="24"/>
          <w:szCs w:val="24"/>
        </w:rPr>
        <w:t xml:space="preserve">another loan </w:t>
      </w:r>
      <w:r w:rsidR="00B5410E">
        <w:rPr>
          <w:sz w:val="24"/>
          <w:szCs w:val="24"/>
        </w:rPr>
        <w:t xml:space="preserve">will support the Philippines’ Improving Growth Corridors in Mindanao Roads Sector project. </w:t>
      </w:r>
      <w:r w:rsidR="005A5838">
        <w:rPr>
          <w:sz w:val="24"/>
          <w:szCs w:val="24"/>
        </w:rPr>
        <w:t>On Friday, t</w:t>
      </w:r>
      <w:r w:rsidR="00B5410E">
        <w:rPr>
          <w:sz w:val="24"/>
          <w:szCs w:val="24"/>
        </w:rPr>
        <w:t xml:space="preserve">he ADB Board </w:t>
      </w:r>
      <w:r w:rsidR="005A5838">
        <w:rPr>
          <w:sz w:val="24"/>
          <w:szCs w:val="24"/>
        </w:rPr>
        <w:t>approved</w:t>
      </w:r>
      <w:r w:rsidR="00B5410E">
        <w:rPr>
          <w:sz w:val="24"/>
          <w:szCs w:val="24"/>
        </w:rPr>
        <w:t xml:space="preserve"> </w:t>
      </w:r>
      <w:r w:rsidR="006C45FC">
        <w:rPr>
          <w:sz w:val="24"/>
          <w:szCs w:val="24"/>
        </w:rPr>
        <w:t>the</w:t>
      </w:r>
      <w:r w:rsidR="00B5410E">
        <w:rPr>
          <w:sz w:val="24"/>
          <w:szCs w:val="24"/>
        </w:rPr>
        <w:t xml:space="preserve"> </w:t>
      </w:r>
      <w:r w:rsidR="005A5838">
        <w:rPr>
          <w:sz w:val="24"/>
          <w:szCs w:val="24"/>
        </w:rPr>
        <w:t xml:space="preserve">$408 million </w:t>
      </w:r>
      <w:r w:rsidR="00B5410E">
        <w:rPr>
          <w:sz w:val="24"/>
          <w:szCs w:val="24"/>
        </w:rPr>
        <w:t>Emergency</w:t>
      </w:r>
      <w:r w:rsidR="00C21F57">
        <w:rPr>
          <w:sz w:val="24"/>
          <w:szCs w:val="24"/>
        </w:rPr>
        <w:t xml:space="preserve"> Assistance</w:t>
      </w:r>
      <w:r w:rsidR="00B5410E">
        <w:rPr>
          <w:sz w:val="24"/>
          <w:szCs w:val="24"/>
        </w:rPr>
        <w:t xml:space="preserve"> for Reconstruction and Recovery of </w:t>
      </w:r>
      <w:proofErr w:type="spellStart"/>
      <w:r w:rsidR="00B5410E">
        <w:rPr>
          <w:sz w:val="24"/>
          <w:szCs w:val="24"/>
        </w:rPr>
        <w:t>Marawi</w:t>
      </w:r>
      <w:proofErr w:type="spellEnd"/>
      <w:r w:rsidR="002711D3">
        <w:rPr>
          <w:sz w:val="24"/>
          <w:szCs w:val="24"/>
        </w:rPr>
        <w:t xml:space="preserve"> financing package</w:t>
      </w:r>
      <w:r w:rsidR="00B5410E">
        <w:rPr>
          <w:sz w:val="24"/>
          <w:szCs w:val="24"/>
        </w:rPr>
        <w:t xml:space="preserve">. </w:t>
      </w:r>
    </w:p>
    <w:p w14:paraId="0E60AD52" w14:textId="1B8BF4A7" w:rsidR="00082D7D" w:rsidRDefault="00B5410E" w:rsidP="00AC755B">
      <w:pPr>
        <w:rPr>
          <w:sz w:val="24"/>
          <w:szCs w:val="24"/>
        </w:rPr>
      </w:pPr>
      <w:r>
        <w:rPr>
          <w:sz w:val="24"/>
          <w:szCs w:val="24"/>
        </w:rPr>
        <w:t>By 2019</w:t>
      </w:r>
      <w:r w:rsidR="005E1C2F">
        <w:rPr>
          <w:sz w:val="24"/>
          <w:szCs w:val="24"/>
        </w:rPr>
        <w:t xml:space="preserve">, </w:t>
      </w:r>
      <w:r w:rsidR="00082D7D">
        <w:rPr>
          <w:sz w:val="24"/>
          <w:szCs w:val="24"/>
        </w:rPr>
        <w:t xml:space="preserve">ADB </w:t>
      </w:r>
      <w:r w:rsidR="005E1C2F">
        <w:rPr>
          <w:sz w:val="24"/>
          <w:szCs w:val="24"/>
        </w:rPr>
        <w:t xml:space="preserve">expects to further increase its loan commitments to the Philippines to as high as $2.9B. Thus far, it </w:t>
      </w:r>
      <w:r w:rsidR="00082D7D">
        <w:rPr>
          <w:sz w:val="24"/>
          <w:szCs w:val="24"/>
        </w:rPr>
        <w:t>has already provided the Philippines more than US$19B in sovereign and non-sovereign lending since its first loan granted in 1969.</w:t>
      </w:r>
    </w:p>
    <w:p w14:paraId="22CAE151" w14:textId="487A7557" w:rsidR="005E1C2F" w:rsidRDefault="005E1C2F" w:rsidP="00AC755B">
      <w:pPr>
        <w:rPr>
          <w:sz w:val="24"/>
          <w:szCs w:val="24"/>
        </w:rPr>
      </w:pPr>
      <w:r>
        <w:rPr>
          <w:sz w:val="24"/>
          <w:szCs w:val="24"/>
        </w:rPr>
        <w:t xml:space="preserve">“The reason why we are trying to increase government lending is because we want to support the </w:t>
      </w:r>
      <w:r w:rsidR="006A21F4">
        <w:rPr>
          <w:sz w:val="24"/>
          <w:szCs w:val="24"/>
        </w:rPr>
        <w:t>‘</w:t>
      </w:r>
      <w:r>
        <w:rPr>
          <w:sz w:val="24"/>
          <w:szCs w:val="24"/>
        </w:rPr>
        <w:t>Build, Build, Build</w:t>
      </w:r>
      <w:r w:rsidR="006A21F4">
        <w:rPr>
          <w:sz w:val="24"/>
          <w:szCs w:val="24"/>
        </w:rPr>
        <w:t>’</w:t>
      </w:r>
      <w:r>
        <w:rPr>
          <w:sz w:val="24"/>
          <w:szCs w:val="24"/>
        </w:rPr>
        <w:t xml:space="preserve"> pro</w:t>
      </w:r>
      <w:r w:rsidR="006A21F4">
        <w:rPr>
          <w:sz w:val="24"/>
          <w:szCs w:val="24"/>
        </w:rPr>
        <w:t>gram</w:t>
      </w:r>
      <w:r>
        <w:rPr>
          <w:sz w:val="24"/>
          <w:szCs w:val="24"/>
        </w:rPr>
        <w:t xml:space="preserve"> of this administration,” Nakao said. He is confident that the </w:t>
      </w:r>
      <w:r w:rsidR="00FA6C2A">
        <w:rPr>
          <w:sz w:val="24"/>
          <w:szCs w:val="24"/>
        </w:rPr>
        <w:t>loans</w:t>
      </w:r>
      <w:r>
        <w:rPr>
          <w:sz w:val="24"/>
          <w:szCs w:val="24"/>
        </w:rPr>
        <w:t xml:space="preserve"> will be used in the most efficient and quick manner, adding that the Philippines has the capacity to do what needs to be done.</w:t>
      </w:r>
    </w:p>
    <w:p w14:paraId="1F4A248F" w14:textId="1DA52BC4" w:rsidR="009A4A7B" w:rsidRDefault="009A4A7B" w:rsidP="00AC755B">
      <w:pPr>
        <w:rPr>
          <w:sz w:val="24"/>
          <w:szCs w:val="24"/>
        </w:rPr>
      </w:pPr>
      <w:r>
        <w:rPr>
          <w:sz w:val="24"/>
          <w:szCs w:val="24"/>
        </w:rPr>
        <w:t>According to Nakao, these loans are just two of several highlights of its partnership with the Philippines for the year. He cited ADB’s 51</w:t>
      </w:r>
      <w:r w:rsidRPr="007A30EC">
        <w:rPr>
          <w:sz w:val="24"/>
          <w:szCs w:val="24"/>
          <w:vertAlign w:val="superscript"/>
        </w:rPr>
        <w:t>st</w:t>
      </w:r>
      <w:r>
        <w:rPr>
          <w:sz w:val="24"/>
          <w:szCs w:val="24"/>
        </w:rPr>
        <w:t xml:space="preserve"> Annual Meeting of the Board of Governors held in Manila,</w:t>
      </w:r>
      <w:r w:rsidR="001B4252">
        <w:rPr>
          <w:sz w:val="24"/>
          <w:szCs w:val="24"/>
        </w:rPr>
        <w:t xml:space="preserve"> its new</w:t>
      </w:r>
      <w:r>
        <w:rPr>
          <w:sz w:val="24"/>
          <w:szCs w:val="24"/>
        </w:rPr>
        <w:t xml:space="preserve"> </w:t>
      </w:r>
      <w:r w:rsidR="001B4252">
        <w:rPr>
          <w:sz w:val="24"/>
          <w:szCs w:val="24"/>
        </w:rPr>
        <w:t xml:space="preserve">six-year </w:t>
      </w:r>
      <w:r>
        <w:rPr>
          <w:sz w:val="24"/>
          <w:szCs w:val="24"/>
        </w:rPr>
        <w:t xml:space="preserve">Country Partnership Strategy (CPS), and the </w:t>
      </w:r>
      <w:r w:rsidR="00EC0C51">
        <w:rPr>
          <w:sz w:val="24"/>
          <w:szCs w:val="24"/>
        </w:rPr>
        <w:t xml:space="preserve">approval </w:t>
      </w:r>
      <w:r>
        <w:rPr>
          <w:sz w:val="24"/>
          <w:szCs w:val="24"/>
        </w:rPr>
        <w:t>of its Country Operations Business Plan 2019-2021 for the Philippines.</w:t>
      </w:r>
    </w:p>
    <w:p w14:paraId="7A693738" w14:textId="64D54DB2" w:rsidR="009A4A7B" w:rsidRDefault="009A4A7B" w:rsidP="00AC755B">
      <w:pPr>
        <w:rPr>
          <w:sz w:val="24"/>
          <w:szCs w:val="24"/>
        </w:rPr>
      </w:pPr>
      <w:r>
        <w:rPr>
          <w:sz w:val="24"/>
          <w:szCs w:val="24"/>
        </w:rPr>
        <w:t xml:space="preserve">Under the CPS agreement, ADB will be lending </w:t>
      </w:r>
      <w:r w:rsidR="006174C6">
        <w:rPr>
          <w:sz w:val="24"/>
          <w:szCs w:val="24"/>
        </w:rPr>
        <w:t>around</w:t>
      </w:r>
      <w:r>
        <w:rPr>
          <w:sz w:val="24"/>
          <w:szCs w:val="24"/>
        </w:rPr>
        <w:t xml:space="preserve"> $7.</w:t>
      </w:r>
      <w:r w:rsidR="006174C6">
        <w:rPr>
          <w:sz w:val="24"/>
          <w:szCs w:val="24"/>
        </w:rPr>
        <w:t>8</w:t>
      </w:r>
      <w:r>
        <w:rPr>
          <w:sz w:val="24"/>
          <w:szCs w:val="24"/>
        </w:rPr>
        <w:t xml:space="preserve">B to the Philippines </w:t>
      </w:r>
      <w:r w:rsidR="0068769D">
        <w:rPr>
          <w:sz w:val="24"/>
          <w:szCs w:val="24"/>
        </w:rPr>
        <w:t>from 2018 to 2021</w:t>
      </w:r>
      <w:r w:rsidR="008879DF">
        <w:rPr>
          <w:sz w:val="24"/>
          <w:szCs w:val="24"/>
        </w:rPr>
        <w:t>, or about $2.5 billion annually</w:t>
      </w:r>
      <w:r>
        <w:rPr>
          <w:sz w:val="24"/>
          <w:szCs w:val="24"/>
        </w:rPr>
        <w:t xml:space="preserve">. Nakao said that this is more than double the amount </w:t>
      </w:r>
      <w:r w:rsidR="00AC755B">
        <w:rPr>
          <w:sz w:val="24"/>
          <w:szCs w:val="24"/>
        </w:rPr>
        <w:t xml:space="preserve">of assistance </w:t>
      </w:r>
      <w:r>
        <w:rPr>
          <w:sz w:val="24"/>
          <w:szCs w:val="24"/>
        </w:rPr>
        <w:t>the Philippines has been receiving annually</w:t>
      </w:r>
      <w:r w:rsidR="00AC755B">
        <w:rPr>
          <w:sz w:val="24"/>
          <w:szCs w:val="24"/>
        </w:rPr>
        <w:t xml:space="preserve"> from ADB </w:t>
      </w:r>
      <w:r>
        <w:rPr>
          <w:sz w:val="24"/>
          <w:szCs w:val="24"/>
        </w:rPr>
        <w:t xml:space="preserve"> since 2011.</w:t>
      </w:r>
      <w:r w:rsidR="00AC755B">
        <w:rPr>
          <w:sz w:val="24"/>
          <w:szCs w:val="24"/>
        </w:rPr>
        <w:t xml:space="preserve"> More than half of this amount has been reserved for infrastructure projects.</w:t>
      </w:r>
    </w:p>
    <w:p w14:paraId="1CFBC6E8" w14:textId="406737F7" w:rsidR="00AC755B" w:rsidRDefault="00AC755B" w:rsidP="00AC755B">
      <w:pPr>
        <w:rPr>
          <w:sz w:val="24"/>
          <w:szCs w:val="24"/>
        </w:rPr>
      </w:pPr>
      <w:r>
        <w:rPr>
          <w:sz w:val="24"/>
          <w:szCs w:val="24"/>
        </w:rPr>
        <w:t xml:space="preserve">Philippine Finance Secretary Carlos Dominguez emphasized the government’s firm commitment into projects involving public-private partnership (PPP), especially in managing completed and future infrastructure projects. He said that </w:t>
      </w:r>
      <w:r w:rsidR="00106E38">
        <w:rPr>
          <w:sz w:val="24"/>
          <w:szCs w:val="24"/>
        </w:rPr>
        <w:t xml:space="preserve">although </w:t>
      </w:r>
      <w:r>
        <w:rPr>
          <w:sz w:val="24"/>
          <w:szCs w:val="24"/>
        </w:rPr>
        <w:t xml:space="preserve">construction of international airports in Clark City and </w:t>
      </w:r>
      <w:proofErr w:type="spellStart"/>
      <w:r>
        <w:rPr>
          <w:sz w:val="24"/>
          <w:szCs w:val="24"/>
        </w:rPr>
        <w:t>Panglao</w:t>
      </w:r>
      <w:proofErr w:type="spellEnd"/>
      <w:r>
        <w:rPr>
          <w:sz w:val="24"/>
          <w:szCs w:val="24"/>
        </w:rPr>
        <w:t xml:space="preserve"> were implemented</w:t>
      </w:r>
      <w:r w:rsidR="00106E38">
        <w:rPr>
          <w:sz w:val="24"/>
          <w:szCs w:val="24"/>
        </w:rPr>
        <w:t xml:space="preserve"> quickly by de-emphasizing PPP, management of these facilities will be taken over by the private sector.</w:t>
      </w:r>
    </w:p>
    <w:p w14:paraId="5DFEDEDE" w14:textId="3DFF6294" w:rsidR="00106E38" w:rsidRDefault="00106E38" w:rsidP="00106E38">
      <w:pPr>
        <w:rPr>
          <w:sz w:val="20"/>
        </w:rPr>
      </w:pPr>
      <w:r>
        <w:rPr>
          <w:sz w:val="24"/>
          <w:szCs w:val="24"/>
        </w:rPr>
        <w:lastRenderedPageBreak/>
        <w:t>Dominguez added that while transport and tourism projects are the Philippine government’s current priority, other PPP projects are also being pushed. This includes the national ID program and fuel marking, which will be implemented in February.</w:t>
      </w:r>
    </w:p>
    <w:p w14:paraId="0975959F" w14:textId="7EF99DAB" w:rsidR="00106E38" w:rsidRDefault="00106E38" w:rsidP="00106E38">
      <w:pPr>
        <w:rPr>
          <w:sz w:val="20"/>
        </w:rPr>
      </w:pPr>
    </w:p>
    <w:p w14:paraId="4922B011" w14:textId="62A6FE5C" w:rsidR="00106E38" w:rsidRDefault="00106E38" w:rsidP="00106E38">
      <w:pPr>
        <w:jc w:val="center"/>
        <w:rPr>
          <w:sz w:val="20"/>
        </w:rPr>
      </w:pPr>
      <w:r>
        <w:rPr>
          <w:sz w:val="20"/>
        </w:rPr>
        <w:t>###</w:t>
      </w:r>
    </w:p>
    <w:p w14:paraId="71DA2E41" w14:textId="0CA636F6" w:rsidR="003D354E" w:rsidRPr="00BD3709" w:rsidRDefault="00082D7D" w:rsidP="00AC755B">
      <w:pPr>
        <w:rPr>
          <w:sz w:val="20"/>
        </w:rPr>
      </w:pPr>
      <w:r>
        <w:rPr>
          <w:sz w:val="20"/>
        </w:rPr>
        <w:t xml:space="preserve"> </w:t>
      </w:r>
    </w:p>
    <w:sectPr w:rsidR="003D354E" w:rsidRPr="00BD370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C7AC51" w14:textId="77777777" w:rsidR="00257F57" w:rsidRDefault="00257F57" w:rsidP="00A73F4D">
      <w:pPr>
        <w:spacing w:after="0" w:line="240" w:lineRule="auto"/>
      </w:pPr>
      <w:r>
        <w:separator/>
      </w:r>
    </w:p>
  </w:endnote>
  <w:endnote w:type="continuationSeparator" w:id="0">
    <w:p w14:paraId="57F99D32" w14:textId="77777777" w:rsidR="00257F57" w:rsidRDefault="00257F57" w:rsidP="00A73F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AAE081" w14:textId="77777777" w:rsidR="00257F57" w:rsidRDefault="00257F57" w:rsidP="00A73F4D">
      <w:pPr>
        <w:spacing w:after="0" w:line="240" w:lineRule="auto"/>
      </w:pPr>
      <w:r>
        <w:separator/>
      </w:r>
    </w:p>
  </w:footnote>
  <w:footnote w:type="continuationSeparator" w:id="0">
    <w:p w14:paraId="3626D137" w14:textId="77777777" w:rsidR="00257F57" w:rsidRDefault="00257F57" w:rsidP="00A73F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D300CD" w14:textId="39631144" w:rsidR="00A73F4D" w:rsidRDefault="00A73F4D">
    <w:pPr>
      <w:pStyle w:val="Header"/>
    </w:pPr>
    <w:r>
      <w:rPr>
        <w:noProof/>
      </w:rPr>
      <w:drawing>
        <wp:inline distT="0" distB="0" distL="0" distR="0" wp14:anchorId="58536429" wp14:editId="46399ED4">
          <wp:extent cx="1889760" cy="606539"/>
          <wp:effectExtent l="0" t="0" r="254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S_Logo_Strapline_Black_K_new.png"/>
                  <pic:cNvPicPr/>
                </pic:nvPicPr>
                <pic:blipFill>
                  <a:blip r:embed="rId1"/>
                  <a:stretch>
                    <a:fillRect/>
                  </a:stretch>
                </pic:blipFill>
                <pic:spPr>
                  <a:xfrm>
                    <a:off x="0" y="0"/>
                    <a:ext cx="1929289" cy="619226"/>
                  </a:xfrm>
                  <a:prstGeom prst="rect">
                    <a:avLst/>
                  </a:prstGeom>
                </pic:spPr>
              </pic:pic>
            </a:graphicData>
          </a:graphic>
        </wp:inline>
      </w:drawing>
    </w:r>
  </w:p>
  <w:p w14:paraId="1749F953" w14:textId="77777777" w:rsidR="00A73F4D" w:rsidRDefault="00A73F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E63954"/>
    <w:multiLevelType w:val="hybridMultilevel"/>
    <w:tmpl w:val="221252A4"/>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EC0"/>
    <w:rsid w:val="000379FC"/>
    <w:rsid w:val="000654F4"/>
    <w:rsid w:val="00074CA8"/>
    <w:rsid w:val="00082D7D"/>
    <w:rsid w:val="0009653E"/>
    <w:rsid w:val="000B1323"/>
    <w:rsid w:val="000B7362"/>
    <w:rsid w:val="00106E38"/>
    <w:rsid w:val="00111E7B"/>
    <w:rsid w:val="00162258"/>
    <w:rsid w:val="001B0170"/>
    <w:rsid w:val="001B4252"/>
    <w:rsid w:val="001B7681"/>
    <w:rsid w:val="001D6FC3"/>
    <w:rsid w:val="001E52ED"/>
    <w:rsid w:val="001F4874"/>
    <w:rsid w:val="002078DA"/>
    <w:rsid w:val="00207ADC"/>
    <w:rsid w:val="00223529"/>
    <w:rsid w:val="00257F57"/>
    <w:rsid w:val="002711D3"/>
    <w:rsid w:val="00277023"/>
    <w:rsid w:val="00285709"/>
    <w:rsid w:val="002B5169"/>
    <w:rsid w:val="0030174A"/>
    <w:rsid w:val="003167EB"/>
    <w:rsid w:val="003247C2"/>
    <w:rsid w:val="00362F79"/>
    <w:rsid w:val="003B15CE"/>
    <w:rsid w:val="003B75E3"/>
    <w:rsid w:val="003D354E"/>
    <w:rsid w:val="003D5F05"/>
    <w:rsid w:val="003D7721"/>
    <w:rsid w:val="003E1804"/>
    <w:rsid w:val="003F1351"/>
    <w:rsid w:val="004110BD"/>
    <w:rsid w:val="00461BE6"/>
    <w:rsid w:val="00476C07"/>
    <w:rsid w:val="004F097E"/>
    <w:rsid w:val="004F5894"/>
    <w:rsid w:val="00534A78"/>
    <w:rsid w:val="005A5838"/>
    <w:rsid w:val="005E1C2F"/>
    <w:rsid w:val="005F50B0"/>
    <w:rsid w:val="005F7062"/>
    <w:rsid w:val="00606381"/>
    <w:rsid w:val="0061427B"/>
    <w:rsid w:val="006174C6"/>
    <w:rsid w:val="0065419A"/>
    <w:rsid w:val="00671610"/>
    <w:rsid w:val="0068769D"/>
    <w:rsid w:val="006A21F4"/>
    <w:rsid w:val="006B5E4F"/>
    <w:rsid w:val="006C45FC"/>
    <w:rsid w:val="006E7032"/>
    <w:rsid w:val="00727A96"/>
    <w:rsid w:val="007416BA"/>
    <w:rsid w:val="00786129"/>
    <w:rsid w:val="007A30EC"/>
    <w:rsid w:val="007B1DA0"/>
    <w:rsid w:val="007E25ED"/>
    <w:rsid w:val="007F2FC4"/>
    <w:rsid w:val="00832840"/>
    <w:rsid w:val="008879DF"/>
    <w:rsid w:val="008A6FC8"/>
    <w:rsid w:val="00917C88"/>
    <w:rsid w:val="00965EB4"/>
    <w:rsid w:val="00967EC0"/>
    <w:rsid w:val="00970A22"/>
    <w:rsid w:val="009A4A7B"/>
    <w:rsid w:val="00A06F5A"/>
    <w:rsid w:val="00A36BF7"/>
    <w:rsid w:val="00A67332"/>
    <w:rsid w:val="00A73F4D"/>
    <w:rsid w:val="00AC755B"/>
    <w:rsid w:val="00B02B41"/>
    <w:rsid w:val="00B5410E"/>
    <w:rsid w:val="00B737F5"/>
    <w:rsid w:val="00B75A0D"/>
    <w:rsid w:val="00BA7436"/>
    <w:rsid w:val="00BB5893"/>
    <w:rsid w:val="00BB63E6"/>
    <w:rsid w:val="00BC41A3"/>
    <w:rsid w:val="00BD3709"/>
    <w:rsid w:val="00BF5601"/>
    <w:rsid w:val="00C0460D"/>
    <w:rsid w:val="00C21F57"/>
    <w:rsid w:val="00C300C5"/>
    <w:rsid w:val="00C50C1E"/>
    <w:rsid w:val="00C94042"/>
    <w:rsid w:val="00CA48C2"/>
    <w:rsid w:val="00D10409"/>
    <w:rsid w:val="00D309C9"/>
    <w:rsid w:val="00D40AFB"/>
    <w:rsid w:val="00D938CD"/>
    <w:rsid w:val="00E012BB"/>
    <w:rsid w:val="00E05ECA"/>
    <w:rsid w:val="00E569C1"/>
    <w:rsid w:val="00E6215F"/>
    <w:rsid w:val="00E67229"/>
    <w:rsid w:val="00EB40C8"/>
    <w:rsid w:val="00EB6CDB"/>
    <w:rsid w:val="00EC0C51"/>
    <w:rsid w:val="00EC4FE6"/>
    <w:rsid w:val="00EF78AF"/>
    <w:rsid w:val="00F23099"/>
    <w:rsid w:val="00F45B64"/>
    <w:rsid w:val="00F90B02"/>
    <w:rsid w:val="00FA6C2A"/>
  </w:rsids>
  <m:mathPr>
    <m:mathFont m:val="Cambria Math"/>
    <m:brkBin m:val="before"/>
    <m:brkBinSub m:val="--"/>
    <m:smallFrac m:val="0"/>
    <m:dispDef/>
    <m:lMargin m:val="0"/>
    <m:rMargin m:val="0"/>
    <m:defJc m:val="centerGroup"/>
    <m:wrapIndent m:val="1440"/>
    <m:intLim m:val="subSup"/>
    <m:naryLim m:val="undOvr"/>
  </m:mathPr>
  <w:themeFontLang w:val="en-PH"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18BB8F9F"/>
  <w15:docId w15:val="{37927679-AC5D-8C48-9C24-7A7715FCF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PH" w:eastAsia="ja-JP"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5894"/>
    <w:pPr>
      <w:ind w:left="720"/>
      <w:contextualSpacing/>
    </w:pPr>
  </w:style>
  <w:style w:type="paragraph" w:styleId="Header">
    <w:name w:val="header"/>
    <w:basedOn w:val="Normal"/>
    <w:link w:val="HeaderChar"/>
    <w:uiPriority w:val="99"/>
    <w:unhideWhenUsed/>
    <w:rsid w:val="00A73F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3F4D"/>
  </w:style>
  <w:style w:type="paragraph" w:styleId="Footer">
    <w:name w:val="footer"/>
    <w:basedOn w:val="Normal"/>
    <w:link w:val="FooterChar"/>
    <w:uiPriority w:val="99"/>
    <w:unhideWhenUsed/>
    <w:rsid w:val="00A73F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3F4D"/>
  </w:style>
  <w:style w:type="paragraph" w:styleId="BalloonText">
    <w:name w:val="Balloon Text"/>
    <w:basedOn w:val="Normal"/>
    <w:link w:val="BalloonTextChar"/>
    <w:uiPriority w:val="99"/>
    <w:semiHidden/>
    <w:unhideWhenUsed/>
    <w:rsid w:val="002711D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711D3"/>
    <w:rPr>
      <w:rFonts w:ascii="Times New Roman" w:hAnsi="Times New Roman" w:cs="Times New Roman"/>
      <w:sz w:val="18"/>
      <w:szCs w:val="18"/>
    </w:rPr>
  </w:style>
  <w:style w:type="paragraph" w:styleId="Revision">
    <w:name w:val="Revision"/>
    <w:hidden/>
    <w:uiPriority w:val="99"/>
    <w:semiHidden/>
    <w:rsid w:val="003167E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4CA959-E263-415D-A257-0A640D240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398</Words>
  <Characters>2275</Characters>
  <Application>Microsoft Office Word</Application>
  <DocSecurity>0</DocSecurity>
  <Lines>18</Lines>
  <Paragraphs>5</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Manager/>
  <Company/>
  <LinksUpToDate>false</LinksUpToDate>
  <CharactersWithSpaces>2668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CBD</dc:creator>
  <cp:keywords/>
  <dc:description/>
  <cp:lastModifiedBy>Cuevas, Carl Jan (MNL-WSW)</cp:lastModifiedBy>
  <cp:revision>2</cp:revision>
  <cp:lastPrinted>2018-12-13T08:29:00Z</cp:lastPrinted>
  <dcterms:created xsi:type="dcterms:W3CDTF">2018-12-17T07:13:00Z</dcterms:created>
  <dcterms:modified xsi:type="dcterms:W3CDTF">2018-12-17T07:13:00Z</dcterms:modified>
  <cp:category/>
</cp:coreProperties>
</file>