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A9597" w14:textId="2B52FD82" w:rsidR="001F203C" w:rsidRPr="0005260B" w:rsidRDefault="001F203C" w:rsidP="0005260B">
      <w:pPr>
        <w:pStyle w:val="Bodytext9pt"/>
        <w:tabs>
          <w:tab w:val="left" w:pos="1170"/>
        </w:tabs>
        <w:spacing w:line="262" w:lineRule="auto"/>
        <w:jc w:val="both"/>
        <w:rPr>
          <w:rStyle w:val="StyleArial9pt"/>
          <w:rFonts w:cs="Arial"/>
          <w:i w:val="0"/>
          <w:sz w:val="26"/>
          <w:szCs w:val="26"/>
          <w:lang w:val="en-US"/>
        </w:rPr>
      </w:pPr>
    </w:p>
    <w:p w14:paraId="7AB7C720" w14:textId="77777777" w:rsidR="002C3014" w:rsidRPr="0005260B" w:rsidRDefault="002C3014" w:rsidP="0005260B">
      <w:pPr>
        <w:pStyle w:val="Bodytext9pt"/>
        <w:spacing w:line="262" w:lineRule="auto"/>
        <w:jc w:val="both"/>
        <w:rPr>
          <w:rFonts w:cs="Arial"/>
          <w:sz w:val="26"/>
          <w:szCs w:val="26"/>
        </w:rPr>
      </w:pPr>
    </w:p>
    <w:p w14:paraId="775F007F" w14:textId="77777777" w:rsidR="002C3014" w:rsidRPr="0005260B" w:rsidRDefault="002C3014" w:rsidP="0005260B">
      <w:pPr>
        <w:pStyle w:val="Bodytext9pt"/>
        <w:spacing w:line="262" w:lineRule="auto"/>
        <w:jc w:val="both"/>
        <w:rPr>
          <w:rFonts w:cs="Arial"/>
          <w:sz w:val="26"/>
          <w:szCs w:val="26"/>
        </w:rPr>
      </w:pPr>
    </w:p>
    <w:p w14:paraId="02C6B810" w14:textId="77777777" w:rsidR="00061A94" w:rsidRPr="0005260B" w:rsidRDefault="00061A94" w:rsidP="0005260B">
      <w:pPr>
        <w:pStyle w:val="BodyText1"/>
        <w:spacing w:line="276" w:lineRule="auto"/>
        <w:rPr>
          <w:rFonts w:asciiTheme="minorHAnsi" w:hAnsiTheme="minorHAnsi" w:cstheme="minorHAnsi"/>
          <w:b/>
          <w:bCs/>
          <w:sz w:val="22"/>
          <w:szCs w:val="22"/>
        </w:rPr>
      </w:pPr>
      <w:bookmarkStart w:id="0" w:name="_GoBack"/>
      <w:r w:rsidRPr="0005260B">
        <w:rPr>
          <w:rFonts w:asciiTheme="minorHAnsi" w:hAnsiTheme="minorHAnsi" w:cstheme="minorHAnsi"/>
          <w:b/>
          <w:bCs/>
          <w:sz w:val="22"/>
          <w:szCs w:val="22"/>
        </w:rPr>
        <w:t xml:space="preserve">19 June 2019 </w:t>
      </w:r>
    </w:p>
    <w:p w14:paraId="1C8FF21D" w14:textId="77777777" w:rsidR="00061A94" w:rsidRPr="0005260B" w:rsidRDefault="00061A94" w:rsidP="0005260B">
      <w:pPr>
        <w:shd w:val="clear" w:color="auto" w:fill="FFFFFF"/>
        <w:spacing w:line="276" w:lineRule="auto"/>
        <w:rPr>
          <w:rFonts w:asciiTheme="minorHAnsi" w:hAnsiTheme="minorHAnsi" w:cstheme="minorHAnsi"/>
          <w:b/>
          <w:sz w:val="22"/>
          <w:szCs w:val="22"/>
          <w:lang w:val="en-GB"/>
        </w:rPr>
      </w:pPr>
    </w:p>
    <w:p w14:paraId="59481422" w14:textId="77777777" w:rsidR="00061A94" w:rsidRPr="0005260B" w:rsidRDefault="00061A94" w:rsidP="0005260B">
      <w:pPr>
        <w:shd w:val="clear" w:color="auto" w:fill="FFFFFF"/>
        <w:spacing w:after="120" w:line="276" w:lineRule="auto"/>
        <w:jc w:val="center"/>
        <w:rPr>
          <w:rFonts w:asciiTheme="minorHAnsi" w:hAnsiTheme="minorHAnsi" w:cstheme="minorHAnsi"/>
          <w:b/>
          <w:sz w:val="22"/>
          <w:szCs w:val="22"/>
          <w:lang w:val="en-GB"/>
        </w:rPr>
      </w:pPr>
      <w:r w:rsidRPr="0005260B">
        <w:rPr>
          <w:rFonts w:asciiTheme="minorHAnsi" w:hAnsiTheme="minorHAnsi" w:cstheme="minorHAnsi"/>
          <w:b/>
          <w:sz w:val="22"/>
          <w:szCs w:val="22"/>
          <w:lang w:val="en-GB"/>
        </w:rPr>
        <w:t>LANDMARK GROUP AND HSBC EXECUTE ‘FIRST-OF-ITS-KIND’ DUAL-PLATFORM BLOCKCHAIN TRANSACTION</w:t>
      </w:r>
    </w:p>
    <w:bookmarkEnd w:id="0"/>
    <w:p w14:paraId="3D3945C7" w14:textId="77777777" w:rsidR="00061A94" w:rsidRPr="0005260B" w:rsidRDefault="00061A94" w:rsidP="0005260B">
      <w:pPr>
        <w:pStyle w:val="ListParagraph"/>
        <w:numPr>
          <w:ilvl w:val="0"/>
          <w:numId w:val="15"/>
        </w:numPr>
        <w:shd w:val="clear" w:color="auto" w:fill="FFFFFF"/>
        <w:spacing w:line="276" w:lineRule="auto"/>
        <w:ind w:left="357" w:hanging="357"/>
        <w:contextualSpacing w:val="0"/>
        <w:rPr>
          <w:rFonts w:asciiTheme="minorHAnsi" w:hAnsiTheme="minorHAnsi" w:cstheme="minorHAnsi"/>
          <w:i/>
          <w:iCs/>
          <w:sz w:val="20"/>
          <w:szCs w:val="20"/>
          <w:lang w:val="en-GB"/>
        </w:rPr>
      </w:pPr>
      <w:r w:rsidRPr="0005260B">
        <w:rPr>
          <w:rFonts w:asciiTheme="minorHAnsi" w:hAnsiTheme="minorHAnsi" w:cstheme="minorHAnsi"/>
          <w:i/>
          <w:iCs/>
          <w:sz w:val="20"/>
          <w:szCs w:val="20"/>
          <w:lang w:val="en-GB"/>
        </w:rPr>
        <w:t>Complementary distributed ledger networks brought together for the first time in the Middle East, connecting two dynamic global trading hubs – Hong Kong and the UAE</w:t>
      </w:r>
    </w:p>
    <w:p w14:paraId="5936AC92" w14:textId="77777777" w:rsidR="00061A94" w:rsidRPr="0005260B" w:rsidRDefault="00061A94" w:rsidP="0005260B">
      <w:pPr>
        <w:pStyle w:val="ListParagraph"/>
        <w:numPr>
          <w:ilvl w:val="0"/>
          <w:numId w:val="15"/>
        </w:numPr>
        <w:shd w:val="clear" w:color="auto" w:fill="FFFFFF"/>
        <w:spacing w:line="276" w:lineRule="auto"/>
        <w:ind w:left="357" w:hanging="357"/>
        <w:contextualSpacing w:val="0"/>
        <w:rPr>
          <w:rFonts w:asciiTheme="minorHAnsi" w:hAnsiTheme="minorHAnsi" w:cstheme="minorHAnsi"/>
          <w:i/>
          <w:iCs/>
          <w:sz w:val="20"/>
          <w:szCs w:val="20"/>
          <w:lang w:val="en-GB"/>
        </w:rPr>
      </w:pPr>
      <w:r w:rsidRPr="0005260B">
        <w:rPr>
          <w:rFonts w:asciiTheme="minorHAnsi" w:hAnsiTheme="minorHAnsi" w:cstheme="minorHAnsi"/>
          <w:i/>
          <w:iCs/>
          <w:sz w:val="20"/>
          <w:szCs w:val="20"/>
          <w:lang w:val="en-GB"/>
        </w:rPr>
        <w:t>First cross-border Letter of Credit blockchain transaction for the UAE and Hong Kong companies on the Voltron platform</w:t>
      </w:r>
    </w:p>
    <w:p w14:paraId="21874F9B" w14:textId="77777777" w:rsidR="00061A94" w:rsidRPr="0005260B" w:rsidRDefault="00061A94" w:rsidP="0005260B">
      <w:pPr>
        <w:pStyle w:val="ListParagraph"/>
        <w:numPr>
          <w:ilvl w:val="0"/>
          <w:numId w:val="15"/>
        </w:numPr>
        <w:shd w:val="clear" w:color="auto" w:fill="FFFFFF"/>
        <w:spacing w:line="276" w:lineRule="auto"/>
        <w:ind w:left="357" w:hanging="357"/>
        <w:contextualSpacing w:val="0"/>
        <w:rPr>
          <w:rFonts w:asciiTheme="minorHAnsi" w:hAnsiTheme="minorHAnsi" w:cstheme="minorHAnsi"/>
          <w:i/>
          <w:iCs/>
          <w:sz w:val="20"/>
          <w:szCs w:val="20"/>
          <w:lang w:val="en-GB"/>
        </w:rPr>
      </w:pPr>
      <w:r w:rsidRPr="0005260B">
        <w:rPr>
          <w:rFonts w:asciiTheme="minorHAnsi" w:hAnsiTheme="minorHAnsi" w:cstheme="minorHAnsi"/>
          <w:i/>
          <w:iCs/>
          <w:sz w:val="20"/>
          <w:szCs w:val="20"/>
          <w:lang w:val="en-GB"/>
        </w:rPr>
        <w:t>Network-to-network interoperability demonstrates evolution of blockchain in trade finance</w:t>
      </w:r>
    </w:p>
    <w:p w14:paraId="5F05BCBB" w14:textId="77777777" w:rsidR="00061A94" w:rsidRPr="0005260B" w:rsidRDefault="00061A94" w:rsidP="0005260B">
      <w:pPr>
        <w:shd w:val="clear" w:color="auto" w:fill="FFFFFF"/>
        <w:spacing w:line="259" w:lineRule="auto"/>
        <w:rPr>
          <w:rFonts w:asciiTheme="minorHAnsi" w:hAnsiTheme="minorHAnsi" w:cstheme="minorHAnsi"/>
          <w:sz w:val="20"/>
          <w:szCs w:val="20"/>
          <w:lang w:val="en-GB"/>
        </w:rPr>
      </w:pPr>
    </w:p>
    <w:p w14:paraId="7A264073" w14:textId="77777777" w:rsidR="00061A94" w:rsidRPr="0005260B" w:rsidRDefault="00061A94" w:rsidP="0005260B">
      <w:pPr>
        <w:shd w:val="clear" w:color="auto" w:fill="FFFFFF"/>
        <w:spacing w:line="259" w:lineRule="auto"/>
        <w:rPr>
          <w:rFonts w:asciiTheme="minorHAnsi" w:hAnsiTheme="minorHAnsi" w:cstheme="minorHAnsi"/>
          <w:sz w:val="20"/>
          <w:szCs w:val="20"/>
          <w:lang w:val="en-GB"/>
        </w:rPr>
      </w:pPr>
      <w:r w:rsidRPr="0005260B">
        <w:rPr>
          <w:rFonts w:asciiTheme="minorHAnsi" w:hAnsiTheme="minorHAnsi" w:cstheme="minorHAnsi"/>
          <w:sz w:val="20"/>
          <w:szCs w:val="20"/>
          <w:lang w:val="en-GB"/>
        </w:rPr>
        <w:t>Landmark Group and HSBC have completed a first-of-its-kind transaction that connected two independently-built blockchain platforms, proving their interoperability and showing how collaborative technologies can further accelerate international trade in the future. It also marks a major step forward in the Middle East’s retail industry adopting blockchain.</w:t>
      </w:r>
    </w:p>
    <w:p w14:paraId="288378E9" w14:textId="77777777" w:rsidR="00061A94" w:rsidRPr="0005260B" w:rsidRDefault="00061A94" w:rsidP="0005260B">
      <w:pPr>
        <w:shd w:val="clear" w:color="auto" w:fill="FFFFFF"/>
        <w:spacing w:line="259" w:lineRule="auto"/>
        <w:rPr>
          <w:rFonts w:asciiTheme="minorHAnsi" w:hAnsiTheme="minorHAnsi" w:cstheme="minorHAnsi"/>
          <w:sz w:val="20"/>
          <w:szCs w:val="20"/>
          <w:lang w:val="en-GB"/>
        </w:rPr>
      </w:pPr>
    </w:p>
    <w:p w14:paraId="56C2434E" w14:textId="77777777" w:rsidR="00061A94" w:rsidRPr="0005260B" w:rsidRDefault="00061A94" w:rsidP="0005260B">
      <w:pPr>
        <w:spacing w:line="259" w:lineRule="auto"/>
        <w:rPr>
          <w:rFonts w:asciiTheme="minorHAnsi" w:hAnsiTheme="minorHAnsi" w:cstheme="minorHAnsi"/>
          <w:sz w:val="20"/>
          <w:szCs w:val="20"/>
          <w:lang w:val="en-GB"/>
        </w:rPr>
      </w:pPr>
      <w:r w:rsidRPr="0005260B">
        <w:rPr>
          <w:rFonts w:asciiTheme="minorHAnsi" w:hAnsiTheme="minorHAnsi" w:cstheme="minorHAnsi"/>
          <w:sz w:val="20"/>
          <w:szCs w:val="20"/>
          <w:lang w:val="en-GB"/>
        </w:rPr>
        <w:t xml:space="preserve">The transaction involved a shipment from Bee Dee Industries in Hong Kong to </w:t>
      </w:r>
      <w:proofErr w:type="spellStart"/>
      <w:r w:rsidRPr="0005260B">
        <w:rPr>
          <w:rFonts w:asciiTheme="minorHAnsi" w:hAnsiTheme="minorHAnsi" w:cstheme="minorHAnsi"/>
          <w:sz w:val="20"/>
          <w:szCs w:val="20"/>
          <w:lang w:val="en-GB"/>
        </w:rPr>
        <w:t>Babyshop</w:t>
      </w:r>
      <w:proofErr w:type="spellEnd"/>
      <w:r w:rsidRPr="0005260B">
        <w:rPr>
          <w:rFonts w:asciiTheme="minorHAnsi" w:hAnsiTheme="minorHAnsi" w:cstheme="minorHAnsi"/>
          <w:sz w:val="20"/>
          <w:szCs w:val="20"/>
          <w:lang w:val="en-GB"/>
        </w:rPr>
        <w:t xml:space="preserve">, Landmark Group’s family retail brand in the United Arab Emirates (UAE). A Letter of Credit was issued by HSBC using the </w:t>
      </w:r>
      <w:r w:rsidRPr="0005260B">
        <w:rPr>
          <w:rFonts w:asciiTheme="minorHAnsi" w:hAnsiTheme="minorHAnsi" w:cstheme="minorHAnsi"/>
          <w:sz w:val="20"/>
          <w:szCs w:val="20"/>
          <w:lang w:val="en-GB"/>
        </w:rPr>
        <w:lastRenderedPageBreak/>
        <w:t xml:space="preserve">Voltron platform and Landmark Group’s initiated </w:t>
      </w:r>
      <w:proofErr w:type="spellStart"/>
      <w:r w:rsidRPr="0005260B">
        <w:rPr>
          <w:rFonts w:asciiTheme="minorHAnsi" w:hAnsiTheme="minorHAnsi" w:cstheme="minorHAnsi"/>
          <w:sz w:val="20"/>
          <w:szCs w:val="20"/>
          <w:lang w:val="en-GB"/>
        </w:rPr>
        <w:t>ReChainME</w:t>
      </w:r>
      <w:proofErr w:type="spellEnd"/>
      <w:r w:rsidRPr="0005260B">
        <w:rPr>
          <w:rFonts w:asciiTheme="minorHAnsi" w:hAnsiTheme="minorHAnsi" w:cstheme="minorHAnsi"/>
          <w:sz w:val="20"/>
          <w:szCs w:val="20"/>
          <w:lang w:val="en-GB"/>
        </w:rPr>
        <w:t xml:space="preserve"> platform enabled seamless connectivity with its logistics partners at both ends of a key trading corridor. </w:t>
      </w:r>
    </w:p>
    <w:p w14:paraId="759CFE2B" w14:textId="77777777" w:rsidR="00061A94" w:rsidRPr="0005260B" w:rsidRDefault="00061A94" w:rsidP="0005260B">
      <w:pPr>
        <w:spacing w:line="259" w:lineRule="auto"/>
        <w:rPr>
          <w:rFonts w:asciiTheme="minorHAnsi" w:hAnsiTheme="minorHAnsi" w:cstheme="minorHAnsi"/>
          <w:sz w:val="20"/>
          <w:szCs w:val="20"/>
          <w:lang w:val="en-GB"/>
        </w:rPr>
      </w:pPr>
    </w:p>
    <w:p w14:paraId="22CFBAF9" w14:textId="77777777" w:rsidR="00061A94" w:rsidRPr="0005260B" w:rsidRDefault="00061A94" w:rsidP="0005260B">
      <w:pPr>
        <w:spacing w:line="259" w:lineRule="auto"/>
        <w:rPr>
          <w:rFonts w:asciiTheme="minorHAnsi" w:hAnsiTheme="minorHAnsi" w:cstheme="minorHAnsi"/>
          <w:sz w:val="20"/>
          <w:szCs w:val="20"/>
          <w:lang w:val="en-GB"/>
        </w:rPr>
      </w:pPr>
      <w:r w:rsidRPr="0005260B">
        <w:rPr>
          <w:rFonts w:asciiTheme="minorHAnsi" w:hAnsiTheme="minorHAnsi" w:cstheme="minorHAnsi"/>
          <w:sz w:val="20"/>
          <w:szCs w:val="20"/>
          <w:lang w:val="en-GB"/>
        </w:rPr>
        <w:t xml:space="preserve">This meant that all the key participants along the logistical supply chain could view documents and track progress of the shipment in real-time, thereby reducing the overall time to complete the transaction by up to 12 days, a 40% reduction. It also helped reduce the need for paper, as retail supply chains typically involve large numbers of paper documents that are screened and updated at multiple touch-points. </w:t>
      </w:r>
    </w:p>
    <w:p w14:paraId="1644A5F8" w14:textId="77777777" w:rsidR="00061A94" w:rsidRPr="0005260B" w:rsidRDefault="00061A94" w:rsidP="0005260B">
      <w:pPr>
        <w:spacing w:line="259" w:lineRule="auto"/>
        <w:rPr>
          <w:rFonts w:asciiTheme="minorHAnsi" w:hAnsiTheme="minorHAnsi" w:cstheme="minorHAnsi"/>
          <w:sz w:val="20"/>
          <w:szCs w:val="20"/>
          <w:lang w:val="en-GB"/>
        </w:rPr>
      </w:pPr>
    </w:p>
    <w:p w14:paraId="629FE7D2" w14:textId="77777777" w:rsidR="00061A94" w:rsidRPr="0005260B" w:rsidRDefault="00061A94" w:rsidP="0005260B">
      <w:pPr>
        <w:shd w:val="clear" w:color="auto" w:fill="FFFFFF"/>
        <w:spacing w:line="259" w:lineRule="auto"/>
        <w:rPr>
          <w:rFonts w:asciiTheme="minorHAnsi" w:hAnsiTheme="minorHAnsi" w:cstheme="minorHAnsi"/>
          <w:sz w:val="20"/>
          <w:szCs w:val="20"/>
          <w:lang w:val="en-GB"/>
        </w:rPr>
      </w:pPr>
      <w:r w:rsidRPr="0005260B">
        <w:rPr>
          <w:rFonts w:asciiTheme="minorHAnsi" w:hAnsiTheme="minorHAnsi" w:cstheme="minorHAnsi"/>
          <w:b/>
          <w:sz w:val="20"/>
          <w:szCs w:val="20"/>
          <w:lang w:val="en-GB"/>
        </w:rPr>
        <w:t xml:space="preserve">Rajesh </w:t>
      </w:r>
      <w:proofErr w:type="spellStart"/>
      <w:r w:rsidRPr="0005260B">
        <w:rPr>
          <w:rFonts w:asciiTheme="minorHAnsi" w:hAnsiTheme="minorHAnsi" w:cstheme="minorHAnsi"/>
          <w:b/>
          <w:sz w:val="20"/>
          <w:szCs w:val="20"/>
          <w:lang w:val="en-GB"/>
        </w:rPr>
        <w:t>Garg</w:t>
      </w:r>
      <w:proofErr w:type="spellEnd"/>
      <w:r w:rsidRPr="0005260B">
        <w:rPr>
          <w:rFonts w:asciiTheme="minorHAnsi" w:hAnsiTheme="minorHAnsi" w:cstheme="minorHAnsi"/>
          <w:b/>
          <w:sz w:val="20"/>
          <w:szCs w:val="20"/>
          <w:lang w:val="en-GB"/>
        </w:rPr>
        <w:t>, Group Chief Financial Officer, Landmark Group</w:t>
      </w:r>
      <w:r w:rsidRPr="0005260B">
        <w:rPr>
          <w:rFonts w:asciiTheme="minorHAnsi" w:hAnsiTheme="minorHAnsi" w:cstheme="minorHAnsi"/>
          <w:sz w:val="20"/>
          <w:szCs w:val="20"/>
          <w:lang w:val="en-GB"/>
        </w:rPr>
        <w:t>, said: “We saw the promise of blockchain technology and embarked on the journey. This is a huge milestone for us at Landmark Group. Embracing new and emerging technologies like blockchain in our physical and financial supply chain not only aids in improving speed to market efficiency but also reflects our commitment to driving transformation in the retail sector and ultimately creating value for our customers. As a leading retail organisation in the Middle East, we’re proud to have taken the lead in this area.”</w:t>
      </w:r>
    </w:p>
    <w:p w14:paraId="2B8D3D21" w14:textId="77777777" w:rsidR="00061A94" w:rsidRPr="0005260B" w:rsidRDefault="00061A94" w:rsidP="0005260B">
      <w:pPr>
        <w:shd w:val="clear" w:color="auto" w:fill="FFFFFF"/>
        <w:spacing w:line="259" w:lineRule="auto"/>
        <w:rPr>
          <w:rFonts w:asciiTheme="minorHAnsi" w:hAnsiTheme="minorHAnsi" w:cstheme="minorHAnsi"/>
          <w:sz w:val="20"/>
          <w:szCs w:val="20"/>
          <w:lang w:val="en-GB"/>
        </w:rPr>
      </w:pPr>
    </w:p>
    <w:p w14:paraId="646EECA9" w14:textId="77777777" w:rsidR="00061A94" w:rsidRPr="0005260B" w:rsidRDefault="00061A94" w:rsidP="0005260B">
      <w:pPr>
        <w:shd w:val="clear" w:color="auto" w:fill="FFFFFF"/>
        <w:spacing w:line="259" w:lineRule="auto"/>
        <w:rPr>
          <w:rFonts w:asciiTheme="minorHAnsi" w:hAnsiTheme="minorHAnsi" w:cstheme="minorHAnsi"/>
          <w:sz w:val="20"/>
          <w:szCs w:val="20"/>
          <w:lang w:val="en-GB"/>
        </w:rPr>
      </w:pPr>
      <w:r w:rsidRPr="0005260B">
        <w:rPr>
          <w:rFonts w:asciiTheme="minorHAnsi" w:hAnsiTheme="minorHAnsi" w:cstheme="minorHAnsi"/>
          <w:b/>
          <w:bCs/>
          <w:sz w:val="20"/>
          <w:szCs w:val="20"/>
          <w:lang w:val="en-GB"/>
        </w:rPr>
        <w:t xml:space="preserve">Sunil </w:t>
      </w:r>
      <w:proofErr w:type="spellStart"/>
      <w:r w:rsidRPr="0005260B">
        <w:rPr>
          <w:rFonts w:asciiTheme="minorHAnsi" w:hAnsiTheme="minorHAnsi" w:cstheme="minorHAnsi"/>
          <w:b/>
          <w:bCs/>
          <w:sz w:val="20"/>
          <w:szCs w:val="20"/>
          <w:lang w:val="en-GB"/>
        </w:rPr>
        <w:t>Veetil</w:t>
      </w:r>
      <w:proofErr w:type="spellEnd"/>
      <w:r w:rsidRPr="0005260B">
        <w:rPr>
          <w:rFonts w:asciiTheme="minorHAnsi" w:hAnsiTheme="minorHAnsi" w:cstheme="minorHAnsi"/>
          <w:b/>
          <w:bCs/>
          <w:sz w:val="20"/>
          <w:szCs w:val="20"/>
          <w:lang w:val="en-GB"/>
        </w:rPr>
        <w:t>, Regional Head of Trade at HSBC Middle East, North Africa and Turkey</w:t>
      </w:r>
      <w:r w:rsidRPr="0005260B">
        <w:rPr>
          <w:rFonts w:asciiTheme="minorHAnsi" w:hAnsiTheme="minorHAnsi" w:cstheme="minorHAnsi"/>
          <w:bCs/>
          <w:sz w:val="20"/>
          <w:szCs w:val="20"/>
          <w:lang w:val="en-GB"/>
        </w:rPr>
        <w:t>,</w:t>
      </w:r>
      <w:r w:rsidRPr="0005260B">
        <w:rPr>
          <w:rFonts w:asciiTheme="minorHAnsi" w:hAnsiTheme="minorHAnsi" w:cstheme="minorHAnsi"/>
          <w:sz w:val="20"/>
          <w:szCs w:val="20"/>
          <w:lang w:val="en-GB"/>
        </w:rPr>
        <w:t xml:space="preserve"> said: “We have seen several advancements in digitising trade, each with their own specialist network for secure communication, resulting in disparate ‘digital islands’. The challenge lies in connecting these digital islands to create a cohesive network, and this is where block</w:t>
      </w:r>
      <w:r w:rsidRPr="0005260B">
        <w:rPr>
          <w:rFonts w:asciiTheme="minorHAnsi" w:hAnsiTheme="minorHAnsi" w:cstheme="minorHAnsi"/>
          <w:sz w:val="20"/>
          <w:szCs w:val="20"/>
          <w:lang w:val="en-GB"/>
        </w:rPr>
        <w:lastRenderedPageBreak/>
        <w:t>chain comes in. Being able to connect two complementary blockchain platforms is a significant milestone in the development of this technology. It also speaks to the dynamism and interoperability of Voltron.”</w:t>
      </w:r>
    </w:p>
    <w:p w14:paraId="0E79E8CA" w14:textId="77777777" w:rsidR="00061A94" w:rsidRPr="0005260B" w:rsidRDefault="00061A94" w:rsidP="0005260B">
      <w:pPr>
        <w:shd w:val="clear" w:color="auto" w:fill="FFFFFF"/>
        <w:spacing w:line="259" w:lineRule="auto"/>
        <w:rPr>
          <w:rFonts w:asciiTheme="minorHAnsi" w:hAnsiTheme="minorHAnsi" w:cstheme="minorHAnsi"/>
          <w:sz w:val="20"/>
          <w:szCs w:val="20"/>
          <w:lang w:val="en-GB"/>
        </w:rPr>
      </w:pPr>
    </w:p>
    <w:p w14:paraId="75E4353E" w14:textId="77777777" w:rsidR="00061A94" w:rsidRPr="0005260B" w:rsidRDefault="00061A94" w:rsidP="0005260B">
      <w:pPr>
        <w:shd w:val="clear" w:color="auto" w:fill="FFFFFF"/>
        <w:spacing w:line="259" w:lineRule="auto"/>
        <w:rPr>
          <w:rFonts w:asciiTheme="minorHAnsi" w:hAnsiTheme="minorHAnsi" w:cstheme="minorHAnsi"/>
          <w:sz w:val="20"/>
          <w:szCs w:val="20"/>
          <w:lang w:val="en-GB"/>
        </w:rPr>
      </w:pPr>
      <w:r w:rsidRPr="0005260B">
        <w:rPr>
          <w:rFonts w:asciiTheme="minorHAnsi" w:hAnsiTheme="minorHAnsi" w:cstheme="minorHAnsi"/>
          <w:sz w:val="20"/>
          <w:szCs w:val="20"/>
          <w:lang w:val="en-GB"/>
        </w:rPr>
        <w:t xml:space="preserve">“In a world where businesses are increasingly positioning their supply chains across several markets, blockchain platforms will undoubtedly give them a competitive advantage by increasing the velocity of trade without compromising on privacy and security,” </w:t>
      </w:r>
      <w:r w:rsidRPr="0005260B">
        <w:rPr>
          <w:rFonts w:asciiTheme="minorHAnsi" w:hAnsiTheme="minorHAnsi" w:cstheme="minorHAnsi"/>
          <w:bCs/>
          <w:sz w:val="20"/>
          <w:szCs w:val="20"/>
          <w:lang w:val="en-GB"/>
        </w:rPr>
        <w:t>Sunil</w:t>
      </w:r>
      <w:r w:rsidRPr="0005260B">
        <w:rPr>
          <w:rFonts w:asciiTheme="minorHAnsi" w:hAnsiTheme="minorHAnsi" w:cstheme="minorHAnsi"/>
          <w:b/>
          <w:bCs/>
          <w:sz w:val="20"/>
          <w:szCs w:val="20"/>
          <w:lang w:val="en-GB"/>
        </w:rPr>
        <w:t xml:space="preserve"> </w:t>
      </w:r>
      <w:r w:rsidRPr="0005260B">
        <w:rPr>
          <w:rFonts w:asciiTheme="minorHAnsi" w:hAnsiTheme="minorHAnsi" w:cstheme="minorHAnsi"/>
          <w:sz w:val="20"/>
          <w:szCs w:val="20"/>
          <w:lang w:val="en-GB"/>
        </w:rPr>
        <w:t xml:space="preserve">added. </w:t>
      </w:r>
    </w:p>
    <w:p w14:paraId="4EDB7DA3" w14:textId="77777777" w:rsidR="00061A94" w:rsidRPr="0005260B" w:rsidRDefault="00061A94" w:rsidP="0005260B">
      <w:pPr>
        <w:shd w:val="clear" w:color="auto" w:fill="FFFFFF"/>
        <w:spacing w:line="259" w:lineRule="auto"/>
        <w:rPr>
          <w:rFonts w:asciiTheme="minorHAnsi" w:hAnsiTheme="minorHAnsi" w:cstheme="minorHAnsi"/>
          <w:sz w:val="20"/>
          <w:szCs w:val="20"/>
          <w:lang w:val="en-GB"/>
        </w:rPr>
      </w:pPr>
    </w:p>
    <w:p w14:paraId="3C70B057" w14:textId="77777777" w:rsidR="00061A94" w:rsidRPr="0005260B" w:rsidRDefault="00061A94" w:rsidP="0005260B">
      <w:pPr>
        <w:shd w:val="clear" w:color="auto" w:fill="FFFFFF"/>
        <w:spacing w:line="259" w:lineRule="auto"/>
        <w:rPr>
          <w:rFonts w:asciiTheme="minorHAnsi" w:hAnsiTheme="minorHAnsi" w:cstheme="minorHAnsi"/>
          <w:color w:val="1D1D1B"/>
          <w:sz w:val="20"/>
          <w:szCs w:val="20"/>
          <w:lang w:val="en-GB"/>
        </w:rPr>
      </w:pPr>
      <w:r w:rsidRPr="0005260B">
        <w:rPr>
          <w:rFonts w:asciiTheme="minorHAnsi" w:hAnsiTheme="minorHAnsi" w:cstheme="minorHAnsi"/>
          <w:color w:val="1D1D1B"/>
          <w:sz w:val="20"/>
          <w:szCs w:val="20"/>
          <w:lang w:val="en-GB"/>
        </w:rPr>
        <w:t>Voltron is a distributed ledger trade finance platform which digitises the Letter of Credit (LC) process from application through to document presentation. HSBC has previously facilitated four major LC transactions with this technology across its global network, but this is the first time Voltron has been connected to a complementary blockchain platform, and the first time Voltron has been used to issue a LC between the UAE and Hong Kong.</w:t>
      </w:r>
    </w:p>
    <w:p w14:paraId="4A29CA01" w14:textId="77777777" w:rsidR="00061A94" w:rsidRPr="0005260B" w:rsidRDefault="00061A94" w:rsidP="0005260B">
      <w:pPr>
        <w:shd w:val="clear" w:color="auto" w:fill="FFFFFF"/>
        <w:spacing w:line="259" w:lineRule="auto"/>
        <w:rPr>
          <w:rFonts w:asciiTheme="minorHAnsi" w:hAnsiTheme="minorHAnsi" w:cstheme="minorHAnsi"/>
          <w:color w:val="1D1D1B"/>
          <w:sz w:val="20"/>
          <w:szCs w:val="20"/>
        </w:rPr>
      </w:pPr>
    </w:p>
    <w:p w14:paraId="40375E62" w14:textId="77777777" w:rsidR="00061A94" w:rsidRPr="0005260B" w:rsidRDefault="00061A94" w:rsidP="0005260B">
      <w:pPr>
        <w:shd w:val="clear" w:color="auto" w:fill="FFFFFF"/>
        <w:spacing w:line="259" w:lineRule="auto"/>
        <w:rPr>
          <w:rFonts w:asciiTheme="minorHAnsi" w:hAnsiTheme="minorHAnsi" w:cstheme="minorHAnsi"/>
          <w:color w:val="1D1D1B"/>
          <w:sz w:val="20"/>
          <w:szCs w:val="20"/>
          <w:lang w:val="en-GB"/>
        </w:rPr>
      </w:pPr>
      <w:proofErr w:type="spellStart"/>
      <w:r w:rsidRPr="0005260B">
        <w:rPr>
          <w:rFonts w:asciiTheme="minorHAnsi" w:hAnsiTheme="minorHAnsi" w:cstheme="minorHAnsi"/>
          <w:color w:val="1D1D1B"/>
          <w:sz w:val="20"/>
          <w:szCs w:val="20"/>
        </w:rPr>
        <w:t>ReChainME</w:t>
      </w:r>
      <w:proofErr w:type="spellEnd"/>
      <w:r w:rsidRPr="0005260B">
        <w:rPr>
          <w:rFonts w:asciiTheme="minorHAnsi" w:hAnsiTheme="minorHAnsi" w:cstheme="minorHAnsi"/>
          <w:color w:val="1D1D1B"/>
          <w:sz w:val="20"/>
          <w:szCs w:val="20"/>
        </w:rPr>
        <w:t xml:space="preserve"> is a permissioned blockchain platform initiated by Landmark Group. It ensures seamless connection amongst key participants involved in the transaction, resulting in greater transparency and accountability. </w:t>
      </w:r>
    </w:p>
    <w:p w14:paraId="272C9D29" w14:textId="77777777" w:rsidR="00061A94" w:rsidRPr="0005260B" w:rsidRDefault="00061A94" w:rsidP="0005260B">
      <w:pPr>
        <w:shd w:val="clear" w:color="auto" w:fill="FFFFFF"/>
        <w:spacing w:line="259" w:lineRule="auto"/>
        <w:rPr>
          <w:rFonts w:asciiTheme="minorHAnsi" w:hAnsiTheme="minorHAnsi" w:cstheme="minorHAnsi"/>
          <w:sz w:val="20"/>
          <w:szCs w:val="20"/>
          <w:lang w:val="en-GB"/>
        </w:rPr>
      </w:pPr>
    </w:p>
    <w:p w14:paraId="7595F346" w14:textId="77777777" w:rsidR="00061A94" w:rsidRPr="0005260B" w:rsidRDefault="00061A94" w:rsidP="0005260B">
      <w:pPr>
        <w:shd w:val="clear" w:color="auto" w:fill="FFFFFF"/>
        <w:spacing w:line="259" w:lineRule="auto"/>
        <w:rPr>
          <w:rFonts w:asciiTheme="minorHAnsi" w:hAnsiTheme="minorHAnsi" w:cstheme="minorHAnsi"/>
          <w:sz w:val="20"/>
          <w:szCs w:val="20"/>
          <w:lang w:val="en-GB"/>
        </w:rPr>
      </w:pPr>
      <w:r w:rsidRPr="0005260B">
        <w:rPr>
          <w:rFonts w:asciiTheme="minorHAnsi" w:hAnsiTheme="minorHAnsi" w:cstheme="minorHAnsi"/>
          <w:sz w:val="20"/>
          <w:szCs w:val="20"/>
          <w:lang w:val="en-GB"/>
        </w:rPr>
        <w:t xml:space="preserve">A blockchain is a system in which an immutable record of transactions is maintained across several computers that are linked in a peer-to-peer network.  Through decentralised, secure networks, blockchain technology can be the conduit that connects trade partners globally to share data in a scalable way that makes the trade process faster, safer and simpler. It is a </w:t>
      </w:r>
      <w:r w:rsidRPr="0005260B">
        <w:rPr>
          <w:rFonts w:asciiTheme="minorHAnsi" w:hAnsiTheme="minorHAnsi" w:cstheme="minorHAnsi"/>
          <w:sz w:val="20"/>
          <w:szCs w:val="20"/>
          <w:lang w:val="en-GB"/>
        </w:rPr>
        <w:lastRenderedPageBreak/>
        <w:t xml:space="preserve">one-step process that helps to remove pain points in trade by acting as a catalyst - making trade more attractive and accessible than ever before. </w:t>
      </w:r>
    </w:p>
    <w:p w14:paraId="14A2CC47" w14:textId="77777777" w:rsidR="00061A94" w:rsidRPr="0005260B" w:rsidRDefault="00061A94" w:rsidP="0005260B">
      <w:pPr>
        <w:pStyle w:val="Bodytext9ptItalics"/>
        <w:spacing w:before="120" w:line="259" w:lineRule="auto"/>
        <w:jc w:val="center"/>
        <w:rPr>
          <w:rFonts w:asciiTheme="minorHAnsi" w:hAnsiTheme="minorHAnsi" w:cstheme="minorHAnsi"/>
          <w:sz w:val="20"/>
          <w:szCs w:val="20"/>
        </w:rPr>
      </w:pPr>
      <w:proofErr w:type="gramStart"/>
      <w:r w:rsidRPr="0005260B">
        <w:rPr>
          <w:rFonts w:asciiTheme="minorHAnsi" w:hAnsiTheme="minorHAnsi" w:cstheme="minorHAnsi"/>
          <w:sz w:val="20"/>
          <w:szCs w:val="20"/>
        </w:rPr>
        <w:t>ends/more</w:t>
      </w:r>
      <w:proofErr w:type="gramEnd"/>
    </w:p>
    <w:p w14:paraId="44837F68" w14:textId="77777777" w:rsidR="00061A94" w:rsidRPr="0005260B" w:rsidRDefault="00061A94" w:rsidP="00061A94">
      <w:pPr>
        <w:shd w:val="clear" w:color="auto" w:fill="FFFFFF"/>
        <w:spacing w:line="259" w:lineRule="auto"/>
        <w:jc w:val="both"/>
        <w:rPr>
          <w:rFonts w:asciiTheme="minorHAnsi" w:hAnsiTheme="minorHAnsi" w:cstheme="minorHAnsi"/>
          <w:sz w:val="22"/>
          <w:szCs w:val="22"/>
          <w:lang w:val="en-GB"/>
        </w:rPr>
      </w:pPr>
    </w:p>
    <w:p w14:paraId="03BB9ACB" w14:textId="77777777" w:rsidR="00061A94" w:rsidRPr="0005260B" w:rsidRDefault="00061A94" w:rsidP="001E3BDE">
      <w:pPr>
        <w:pStyle w:val="Headingbold10pt"/>
        <w:spacing w:after="60"/>
        <w:jc w:val="both"/>
        <w:rPr>
          <w:rFonts w:asciiTheme="minorHAnsi" w:hAnsiTheme="minorHAnsi" w:cstheme="minorHAnsi"/>
          <w:szCs w:val="20"/>
          <w:lang w:val="en-GB"/>
        </w:rPr>
      </w:pPr>
      <w:r w:rsidRPr="0005260B">
        <w:rPr>
          <w:rFonts w:asciiTheme="minorHAnsi" w:hAnsiTheme="minorHAnsi" w:cstheme="minorHAnsi"/>
          <w:szCs w:val="20"/>
          <w:lang w:val="en-GB"/>
        </w:rPr>
        <w:t>Media enquiries to (HSBC):</w:t>
      </w:r>
    </w:p>
    <w:p w14:paraId="40314CFB" w14:textId="1C25A229" w:rsidR="00316D9A" w:rsidRPr="0005260B" w:rsidRDefault="00316D9A" w:rsidP="00510A91">
      <w:pPr>
        <w:ind w:right="-96"/>
        <w:jc w:val="both"/>
        <w:rPr>
          <w:rStyle w:val="Hyperlink"/>
          <w:rFonts w:asciiTheme="minorHAnsi" w:hAnsiTheme="minorHAnsi" w:cstheme="minorHAnsi"/>
          <w:bCs/>
          <w:sz w:val="20"/>
          <w:szCs w:val="20"/>
          <w:lang w:val="en-GB"/>
        </w:rPr>
      </w:pPr>
      <w:r w:rsidRPr="0005260B">
        <w:rPr>
          <w:rFonts w:asciiTheme="minorHAnsi" w:hAnsiTheme="minorHAnsi" w:cstheme="minorHAnsi"/>
          <w:bCs/>
          <w:sz w:val="20"/>
          <w:szCs w:val="20"/>
          <w:lang w:val="en-GB"/>
        </w:rPr>
        <w:t xml:space="preserve">Saadia </w:t>
      </w:r>
      <w:proofErr w:type="spellStart"/>
      <w:r w:rsidRPr="0005260B">
        <w:rPr>
          <w:rFonts w:asciiTheme="minorHAnsi" w:hAnsiTheme="minorHAnsi" w:cstheme="minorHAnsi"/>
          <w:bCs/>
          <w:sz w:val="20"/>
          <w:szCs w:val="20"/>
          <w:lang w:val="en-GB"/>
        </w:rPr>
        <w:t>McGlinchey</w:t>
      </w:r>
      <w:proofErr w:type="spellEnd"/>
      <w:r w:rsidRPr="0005260B">
        <w:rPr>
          <w:rFonts w:asciiTheme="minorHAnsi" w:hAnsiTheme="minorHAnsi" w:cstheme="minorHAnsi"/>
          <w:bCs/>
          <w:sz w:val="20"/>
          <w:szCs w:val="20"/>
          <w:lang w:val="en-GB"/>
        </w:rPr>
        <w:t xml:space="preserve"> (Dubai</w:t>
      </w:r>
      <w:r w:rsidR="00061A94" w:rsidRPr="0005260B">
        <w:rPr>
          <w:rFonts w:asciiTheme="minorHAnsi" w:hAnsiTheme="minorHAnsi" w:cstheme="minorHAnsi"/>
          <w:bCs/>
          <w:sz w:val="20"/>
          <w:szCs w:val="20"/>
          <w:lang w:val="en-GB"/>
        </w:rPr>
        <w:t>)</w:t>
      </w:r>
      <w:r w:rsidR="00061A94" w:rsidRPr="0005260B">
        <w:rPr>
          <w:rFonts w:asciiTheme="minorHAnsi" w:hAnsiTheme="minorHAnsi" w:cstheme="minorHAnsi"/>
          <w:bCs/>
          <w:sz w:val="20"/>
          <w:szCs w:val="20"/>
          <w:lang w:val="en-GB"/>
        </w:rPr>
        <w:tab/>
        <w:t>+ 971 442 35237</w:t>
      </w:r>
      <w:r w:rsidR="00061A94" w:rsidRPr="0005260B">
        <w:rPr>
          <w:rFonts w:asciiTheme="minorHAnsi" w:hAnsiTheme="minorHAnsi" w:cstheme="minorHAnsi"/>
          <w:bCs/>
          <w:sz w:val="20"/>
          <w:szCs w:val="20"/>
          <w:lang w:val="en-GB"/>
        </w:rPr>
        <w:tab/>
      </w:r>
      <w:hyperlink r:id="rId11" w:history="1">
        <w:r w:rsidR="00061A94" w:rsidRPr="0005260B">
          <w:rPr>
            <w:rStyle w:val="Hyperlink"/>
            <w:rFonts w:asciiTheme="majorHAnsi" w:hAnsiTheme="majorHAnsi" w:cstheme="majorHAnsi"/>
            <w:sz w:val="20"/>
          </w:rPr>
          <w:t>saadia.mcglinchey@hsbc.com</w:t>
        </w:r>
      </w:hyperlink>
    </w:p>
    <w:p w14:paraId="32F624CC" w14:textId="65629ADB" w:rsidR="00061A94" w:rsidRPr="0005260B" w:rsidRDefault="00061A94" w:rsidP="00061A94">
      <w:pPr>
        <w:spacing w:line="259" w:lineRule="auto"/>
        <w:ind w:right="-96"/>
        <w:jc w:val="both"/>
        <w:rPr>
          <w:rFonts w:asciiTheme="majorHAnsi" w:hAnsiTheme="majorHAnsi" w:cstheme="majorHAnsi"/>
          <w:bCs/>
          <w:sz w:val="20"/>
          <w:szCs w:val="20"/>
          <w:lang w:val="en-GB"/>
        </w:rPr>
      </w:pPr>
      <w:r w:rsidRPr="0005260B">
        <w:rPr>
          <w:rFonts w:asciiTheme="minorHAnsi" w:hAnsiTheme="minorHAnsi" w:cstheme="minorHAnsi"/>
          <w:bCs/>
          <w:sz w:val="20"/>
          <w:szCs w:val="20"/>
          <w:lang w:val="en-GB"/>
        </w:rPr>
        <w:t>Edward Moore</w:t>
      </w:r>
      <w:r w:rsidRPr="0005260B">
        <w:rPr>
          <w:rFonts w:asciiTheme="minorHAnsi" w:hAnsiTheme="minorHAnsi" w:cstheme="minorHAnsi"/>
          <w:bCs/>
          <w:sz w:val="20"/>
          <w:szCs w:val="20"/>
          <w:lang w:val="en-GB"/>
        </w:rPr>
        <w:tab/>
        <w:t>(Dubai)</w:t>
      </w:r>
      <w:r w:rsidRPr="0005260B">
        <w:rPr>
          <w:rFonts w:asciiTheme="minorHAnsi" w:hAnsiTheme="minorHAnsi" w:cstheme="minorHAnsi"/>
          <w:bCs/>
          <w:sz w:val="20"/>
          <w:szCs w:val="20"/>
          <w:lang w:val="en-GB"/>
        </w:rPr>
        <w:tab/>
      </w:r>
      <w:r w:rsidR="00510A91" w:rsidRPr="0005260B">
        <w:rPr>
          <w:rFonts w:asciiTheme="minorHAnsi" w:hAnsiTheme="minorHAnsi" w:cstheme="minorHAnsi"/>
          <w:bCs/>
          <w:sz w:val="20"/>
          <w:szCs w:val="20"/>
          <w:lang w:val="en-GB"/>
        </w:rPr>
        <w:tab/>
      </w:r>
      <w:r w:rsidRPr="0005260B">
        <w:rPr>
          <w:rFonts w:asciiTheme="minorHAnsi" w:hAnsiTheme="minorHAnsi" w:cstheme="minorHAnsi"/>
          <w:bCs/>
          <w:sz w:val="20"/>
          <w:szCs w:val="20"/>
          <w:lang w:val="en-GB"/>
        </w:rPr>
        <w:t>+ 971 442 36610</w:t>
      </w:r>
      <w:r w:rsidRPr="0005260B">
        <w:rPr>
          <w:rFonts w:asciiTheme="minorHAnsi" w:hAnsiTheme="minorHAnsi" w:cstheme="minorHAnsi"/>
          <w:bCs/>
          <w:sz w:val="20"/>
          <w:szCs w:val="20"/>
          <w:lang w:val="en-GB"/>
        </w:rPr>
        <w:tab/>
      </w:r>
      <w:hyperlink r:id="rId12" w:history="1">
        <w:r w:rsidRPr="0005260B">
          <w:rPr>
            <w:rStyle w:val="Hyperlink"/>
            <w:rFonts w:asciiTheme="majorHAnsi" w:hAnsiTheme="majorHAnsi" w:cstheme="majorHAnsi"/>
            <w:sz w:val="20"/>
            <w:szCs w:val="20"/>
          </w:rPr>
          <w:t>edward.j.moore@hsbc.com</w:t>
        </w:r>
      </w:hyperlink>
    </w:p>
    <w:p w14:paraId="27EE76CF" w14:textId="09F4B729" w:rsidR="00061A94" w:rsidRPr="0005260B" w:rsidRDefault="00061A94" w:rsidP="00061A94">
      <w:pPr>
        <w:spacing w:line="259" w:lineRule="auto"/>
        <w:ind w:right="-96"/>
        <w:jc w:val="both"/>
        <w:rPr>
          <w:rFonts w:asciiTheme="minorHAnsi" w:hAnsiTheme="minorHAnsi" w:cstheme="minorHAnsi"/>
          <w:bCs/>
          <w:sz w:val="20"/>
          <w:szCs w:val="20"/>
          <w:lang w:val="en-GB"/>
        </w:rPr>
      </w:pPr>
      <w:r w:rsidRPr="0005260B">
        <w:rPr>
          <w:rFonts w:asciiTheme="minorHAnsi" w:hAnsiTheme="minorHAnsi" w:cstheme="minorHAnsi"/>
          <w:bCs/>
          <w:sz w:val="20"/>
          <w:szCs w:val="20"/>
          <w:lang w:val="en-GB"/>
        </w:rPr>
        <w:t>Melody Tong (HK)</w:t>
      </w:r>
      <w:r w:rsidRPr="0005260B">
        <w:rPr>
          <w:rFonts w:asciiTheme="minorHAnsi" w:hAnsiTheme="minorHAnsi" w:cstheme="minorHAnsi"/>
          <w:bCs/>
          <w:sz w:val="20"/>
          <w:szCs w:val="20"/>
          <w:lang w:val="en-GB"/>
        </w:rPr>
        <w:tab/>
      </w:r>
      <w:r w:rsidRPr="0005260B">
        <w:rPr>
          <w:rFonts w:asciiTheme="minorHAnsi" w:hAnsiTheme="minorHAnsi" w:cstheme="minorHAnsi"/>
          <w:bCs/>
          <w:sz w:val="20"/>
          <w:szCs w:val="20"/>
          <w:lang w:val="en-GB"/>
        </w:rPr>
        <w:tab/>
        <w:t>+ 852 2822 1421</w:t>
      </w:r>
      <w:r w:rsidR="00510A91" w:rsidRPr="0005260B">
        <w:rPr>
          <w:rFonts w:asciiTheme="minorHAnsi" w:hAnsiTheme="minorHAnsi" w:cstheme="minorHAnsi"/>
          <w:bCs/>
          <w:sz w:val="20"/>
          <w:szCs w:val="20"/>
          <w:lang w:val="en-GB"/>
        </w:rPr>
        <w:tab/>
      </w:r>
      <w:hyperlink r:id="rId13" w:history="1">
        <w:r w:rsidR="00316D9A" w:rsidRPr="0005260B">
          <w:rPr>
            <w:rStyle w:val="Hyperlink"/>
            <w:rFonts w:asciiTheme="minorHAnsi" w:hAnsiTheme="minorHAnsi" w:cstheme="minorHAnsi"/>
            <w:bCs/>
            <w:sz w:val="20"/>
            <w:szCs w:val="20"/>
            <w:lang w:val="en-GB"/>
          </w:rPr>
          <w:t>melody.m.y.tong@hsbc.com.hk</w:t>
        </w:r>
      </w:hyperlink>
    </w:p>
    <w:p w14:paraId="0250AEBB" w14:textId="50D8B71B" w:rsidR="00061A94" w:rsidRPr="0005260B" w:rsidRDefault="00061A94" w:rsidP="00061A94">
      <w:pPr>
        <w:spacing w:line="259" w:lineRule="auto"/>
        <w:ind w:right="-96"/>
        <w:jc w:val="both"/>
        <w:rPr>
          <w:rStyle w:val="Hyperlink"/>
          <w:rFonts w:asciiTheme="minorHAnsi" w:hAnsiTheme="minorHAnsi" w:cstheme="minorHAnsi"/>
          <w:color w:val="auto"/>
          <w:sz w:val="20"/>
          <w:szCs w:val="20"/>
          <w:u w:val="none"/>
        </w:rPr>
      </w:pPr>
      <w:r w:rsidRPr="0005260B">
        <w:rPr>
          <w:rFonts w:asciiTheme="minorHAnsi" w:hAnsiTheme="minorHAnsi" w:cstheme="minorHAnsi"/>
          <w:bCs/>
          <w:sz w:val="20"/>
          <w:szCs w:val="20"/>
          <w:lang w:val="en-GB"/>
        </w:rPr>
        <w:t xml:space="preserve">Dora </w:t>
      </w:r>
      <w:proofErr w:type="spellStart"/>
      <w:r w:rsidRPr="0005260B">
        <w:rPr>
          <w:rFonts w:asciiTheme="minorHAnsi" w:hAnsiTheme="minorHAnsi" w:cstheme="minorHAnsi"/>
          <w:bCs/>
          <w:sz w:val="20"/>
          <w:szCs w:val="20"/>
          <w:lang w:val="en-GB"/>
        </w:rPr>
        <w:t>Cheok</w:t>
      </w:r>
      <w:proofErr w:type="spellEnd"/>
      <w:r w:rsidRPr="0005260B">
        <w:rPr>
          <w:rFonts w:asciiTheme="minorHAnsi" w:hAnsiTheme="minorHAnsi" w:cstheme="minorHAnsi"/>
          <w:bCs/>
          <w:sz w:val="20"/>
          <w:szCs w:val="20"/>
          <w:lang w:val="en-GB"/>
        </w:rPr>
        <w:t xml:space="preserve"> (HK)</w:t>
      </w:r>
      <w:r w:rsidRPr="0005260B">
        <w:rPr>
          <w:rFonts w:asciiTheme="minorHAnsi" w:hAnsiTheme="minorHAnsi" w:cstheme="minorHAnsi"/>
          <w:bCs/>
          <w:sz w:val="20"/>
          <w:szCs w:val="20"/>
          <w:lang w:val="en-GB"/>
        </w:rPr>
        <w:tab/>
      </w:r>
      <w:r w:rsidRPr="0005260B">
        <w:rPr>
          <w:rFonts w:asciiTheme="minorHAnsi" w:hAnsiTheme="minorHAnsi" w:cstheme="minorHAnsi"/>
          <w:bCs/>
          <w:sz w:val="20"/>
          <w:szCs w:val="20"/>
          <w:lang w:val="en-GB"/>
        </w:rPr>
        <w:tab/>
        <w:t>+852 6792 8198</w:t>
      </w:r>
      <w:r w:rsidRPr="0005260B">
        <w:rPr>
          <w:rFonts w:asciiTheme="minorHAnsi" w:hAnsiTheme="minorHAnsi" w:cstheme="minorHAnsi"/>
          <w:bCs/>
          <w:sz w:val="20"/>
          <w:szCs w:val="20"/>
          <w:lang w:val="en-GB"/>
        </w:rPr>
        <w:tab/>
      </w:r>
      <w:hyperlink r:id="rId14" w:history="1">
        <w:r w:rsidR="00316D9A" w:rsidRPr="0005260B">
          <w:rPr>
            <w:rStyle w:val="Hyperlink"/>
            <w:rFonts w:asciiTheme="minorHAnsi" w:hAnsiTheme="minorHAnsi" w:cstheme="minorHAnsi"/>
            <w:sz w:val="20"/>
            <w:szCs w:val="20"/>
          </w:rPr>
          <w:t>dora.cheok@hsbc.com.hk</w:t>
        </w:r>
      </w:hyperlink>
    </w:p>
    <w:p w14:paraId="7F5F229D" w14:textId="3EAAC057" w:rsidR="00316D9A" w:rsidRPr="0005260B" w:rsidRDefault="00316D9A" w:rsidP="00061A94">
      <w:pPr>
        <w:spacing w:line="259" w:lineRule="auto"/>
        <w:ind w:right="-96"/>
        <w:jc w:val="both"/>
        <w:rPr>
          <w:rFonts w:asciiTheme="minorHAnsi" w:hAnsiTheme="minorHAnsi" w:cstheme="minorHAnsi"/>
          <w:bCs/>
          <w:sz w:val="20"/>
          <w:szCs w:val="20"/>
          <w:lang w:val="en-GB"/>
        </w:rPr>
      </w:pPr>
      <w:r w:rsidRPr="0005260B">
        <w:rPr>
          <w:rFonts w:asciiTheme="minorHAnsi" w:hAnsiTheme="minorHAnsi" w:cstheme="minorHAnsi"/>
          <w:bCs/>
          <w:sz w:val="20"/>
          <w:szCs w:val="20"/>
          <w:lang w:val="en-GB"/>
        </w:rPr>
        <w:t>Paul Smith (UK)</w:t>
      </w:r>
      <w:r w:rsidRPr="0005260B">
        <w:rPr>
          <w:rFonts w:asciiTheme="minorHAnsi" w:hAnsiTheme="minorHAnsi" w:cstheme="minorHAnsi"/>
          <w:bCs/>
          <w:sz w:val="20"/>
          <w:szCs w:val="20"/>
          <w:lang w:val="en-GB"/>
        </w:rPr>
        <w:tab/>
      </w:r>
      <w:r w:rsidRPr="0005260B">
        <w:rPr>
          <w:rFonts w:asciiTheme="minorHAnsi" w:hAnsiTheme="minorHAnsi" w:cstheme="minorHAnsi"/>
          <w:bCs/>
          <w:sz w:val="20"/>
          <w:szCs w:val="20"/>
          <w:lang w:val="en-GB"/>
        </w:rPr>
        <w:tab/>
      </w:r>
      <w:r w:rsidRPr="0005260B">
        <w:rPr>
          <w:rFonts w:asciiTheme="minorHAnsi" w:hAnsiTheme="minorHAnsi" w:cstheme="minorHAnsi"/>
          <w:bCs/>
          <w:sz w:val="20"/>
          <w:szCs w:val="20"/>
          <w:lang w:val="en-GB"/>
        </w:rPr>
        <w:tab/>
        <w:t>+44 20 7991 4867</w:t>
      </w:r>
      <w:r w:rsidRPr="0005260B">
        <w:rPr>
          <w:rFonts w:asciiTheme="minorHAnsi" w:hAnsiTheme="minorHAnsi" w:cstheme="minorHAnsi"/>
          <w:bCs/>
          <w:sz w:val="20"/>
          <w:szCs w:val="20"/>
          <w:lang w:val="en-GB"/>
        </w:rPr>
        <w:tab/>
      </w:r>
      <w:hyperlink r:id="rId15" w:history="1">
        <w:r w:rsidRPr="0005260B">
          <w:rPr>
            <w:rStyle w:val="Hyperlink"/>
            <w:rFonts w:asciiTheme="minorHAnsi" w:hAnsiTheme="minorHAnsi" w:cstheme="minorHAnsi"/>
            <w:bCs/>
            <w:sz w:val="20"/>
            <w:szCs w:val="20"/>
            <w:lang w:val="en-GB"/>
          </w:rPr>
          <w:t>paul.a.smith@hsbc.com</w:t>
        </w:r>
      </w:hyperlink>
    </w:p>
    <w:p w14:paraId="6C4BF301" w14:textId="77777777" w:rsidR="00061A94" w:rsidRPr="0005260B" w:rsidRDefault="00061A94" w:rsidP="00510A91">
      <w:pPr>
        <w:pStyle w:val="BodyText1"/>
        <w:tabs>
          <w:tab w:val="left" w:pos="2880"/>
          <w:tab w:val="left" w:pos="5580"/>
        </w:tabs>
        <w:jc w:val="both"/>
        <w:rPr>
          <w:rFonts w:asciiTheme="minorHAnsi" w:hAnsiTheme="minorHAnsi" w:cstheme="minorHAnsi"/>
        </w:rPr>
      </w:pPr>
    </w:p>
    <w:p w14:paraId="38B65A9D" w14:textId="77777777" w:rsidR="00061A94" w:rsidRPr="0005260B" w:rsidRDefault="00061A94" w:rsidP="001E3BDE">
      <w:pPr>
        <w:pStyle w:val="Headingbold10pt"/>
        <w:spacing w:after="60"/>
        <w:jc w:val="both"/>
        <w:rPr>
          <w:rFonts w:asciiTheme="minorHAnsi" w:hAnsiTheme="minorHAnsi" w:cstheme="minorHAnsi"/>
          <w:szCs w:val="20"/>
          <w:lang w:val="en-GB"/>
        </w:rPr>
      </w:pPr>
      <w:r w:rsidRPr="0005260B">
        <w:rPr>
          <w:rFonts w:asciiTheme="minorHAnsi" w:hAnsiTheme="minorHAnsi" w:cstheme="minorHAnsi"/>
          <w:szCs w:val="20"/>
          <w:lang w:val="en-GB"/>
        </w:rPr>
        <w:t>Media enquiries to (Landmark Group):</w:t>
      </w:r>
    </w:p>
    <w:p w14:paraId="2802528E" w14:textId="77777777" w:rsidR="00061A94" w:rsidRPr="0005260B" w:rsidRDefault="00061A94" w:rsidP="00510A91">
      <w:pPr>
        <w:pStyle w:val="BodyText"/>
        <w:rPr>
          <w:rFonts w:asciiTheme="minorHAnsi" w:hAnsiTheme="minorHAnsi" w:cstheme="minorHAnsi"/>
          <w:b w:val="0"/>
          <w:bCs/>
          <w:sz w:val="20"/>
        </w:rPr>
      </w:pPr>
      <w:r w:rsidRPr="0005260B">
        <w:rPr>
          <w:rFonts w:asciiTheme="minorHAnsi" w:hAnsiTheme="minorHAnsi" w:cstheme="minorHAnsi"/>
          <w:b w:val="0"/>
          <w:bCs/>
          <w:sz w:val="20"/>
        </w:rPr>
        <w:t xml:space="preserve">Yasser </w:t>
      </w:r>
      <w:proofErr w:type="spellStart"/>
      <w:r w:rsidRPr="0005260B">
        <w:rPr>
          <w:rFonts w:asciiTheme="minorHAnsi" w:hAnsiTheme="minorHAnsi" w:cstheme="minorHAnsi"/>
          <w:b w:val="0"/>
          <w:bCs/>
          <w:sz w:val="20"/>
        </w:rPr>
        <w:t>Alvi</w:t>
      </w:r>
      <w:proofErr w:type="spellEnd"/>
      <w:r w:rsidRPr="0005260B">
        <w:rPr>
          <w:rFonts w:asciiTheme="minorHAnsi" w:hAnsiTheme="minorHAnsi" w:cstheme="minorHAnsi"/>
          <w:b w:val="0"/>
          <w:bCs/>
          <w:sz w:val="20"/>
        </w:rPr>
        <w:t xml:space="preserve"> | </w:t>
      </w:r>
      <w:proofErr w:type="spellStart"/>
      <w:r w:rsidRPr="0005260B">
        <w:rPr>
          <w:rFonts w:asciiTheme="minorHAnsi" w:hAnsiTheme="minorHAnsi" w:cstheme="minorHAnsi"/>
          <w:b w:val="0"/>
          <w:bCs/>
          <w:sz w:val="20"/>
        </w:rPr>
        <w:t>Rawan</w:t>
      </w:r>
      <w:proofErr w:type="spellEnd"/>
      <w:r w:rsidRPr="0005260B">
        <w:rPr>
          <w:rFonts w:asciiTheme="minorHAnsi" w:hAnsiTheme="minorHAnsi" w:cstheme="minorHAnsi"/>
          <w:b w:val="0"/>
          <w:bCs/>
          <w:sz w:val="20"/>
        </w:rPr>
        <w:t xml:space="preserve"> </w:t>
      </w:r>
      <w:proofErr w:type="spellStart"/>
      <w:r w:rsidRPr="0005260B">
        <w:rPr>
          <w:rFonts w:asciiTheme="minorHAnsi" w:hAnsiTheme="minorHAnsi" w:cstheme="minorHAnsi"/>
          <w:b w:val="0"/>
          <w:bCs/>
          <w:sz w:val="20"/>
        </w:rPr>
        <w:t>Alhosban</w:t>
      </w:r>
      <w:proofErr w:type="spellEnd"/>
    </w:p>
    <w:p w14:paraId="7C25CA74" w14:textId="77777777" w:rsidR="00061A94" w:rsidRPr="0005260B" w:rsidRDefault="00061A94" w:rsidP="00510A91">
      <w:pPr>
        <w:pStyle w:val="BodyText"/>
        <w:rPr>
          <w:rFonts w:asciiTheme="minorHAnsi" w:hAnsiTheme="minorHAnsi" w:cstheme="minorHAnsi"/>
          <w:b w:val="0"/>
          <w:bCs/>
          <w:sz w:val="20"/>
        </w:rPr>
      </w:pPr>
      <w:r w:rsidRPr="0005260B">
        <w:rPr>
          <w:rFonts w:asciiTheme="minorHAnsi" w:hAnsiTheme="minorHAnsi" w:cstheme="minorHAnsi"/>
          <w:b w:val="0"/>
          <w:bCs/>
          <w:sz w:val="20"/>
        </w:rPr>
        <w:t>ASDA'A BCW</w:t>
      </w:r>
    </w:p>
    <w:p w14:paraId="50D4BF2C" w14:textId="77777777" w:rsidR="00061A94" w:rsidRPr="0005260B" w:rsidRDefault="00061A94" w:rsidP="00510A91">
      <w:pPr>
        <w:pStyle w:val="BodyText"/>
        <w:rPr>
          <w:rFonts w:asciiTheme="minorHAnsi" w:hAnsiTheme="minorHAnsi" w:cstheme="minorHAnsi"/>
          <w:b w:val="0"/>
          <w:bCs/>
          <w:sz w:val="20"/>
        </w:rPr>
      </w:pPr>
      <w:r w:rsidRPr="0005260B">
        <w:rPr>
          <w:rFonts w:asciiTheme="minorHAnsi" w:hAnsiTheme="minorHAnsi" w:cstheme="minorHAnsi"/>
          <w:b w:val="0"/>
          <w:bCs/>
          <w:sz w:val="20"/>
        </w:rPr>
        <w:t>Tel: (+971) 4 4507 600</w:t>
      </w:r>
    </w:p>
    <w:p w14:paraId="0CB6DEB8" w14:textId="77777777" w:rsidR="00061A94" w:rsidRPr="0005260B" w:rsidRDefault="00061A94" w:rsidP="00510A91">
      <w:pPr>
        <w:pStyle w:val="BodyText"/>
        <w:rPr>
          <w:rFonts w:asciiTheme="minorHAnsi" w:hAnsiTheme="minorHAnsi" w:cstheme="minorHAnsi"/>
          <w:b w:val="0"/>
          <w:bCs/>
          <w:sz w:val="20"/>
        </w:rPr>
      </w:pPr>
      <w:r w:rsidRPr="0005260B">
        <w:rPr>
          <w:rFonts w:asciiTheme="minorHAnsi" w:hAnsiTheme="minorHAnsi" w:cstheme="minorHAnsi"/>
          <w:b w:val="0"/>
          <w:bCs/>
          <w:sz w:val="20"/>
        </w:rPr>
        <w:t xml:space="preserve">Email: </w:t>
      </w:r>
      <w:hyperlink r:id="rId16" w:history="1">
        <w:r w:rsidRPr="0005260B">
          <w:rPr>
            <w:rStyle w:val="Hyperlink"/>
            <w:rFonts w:asciiTheme="minorHAnsi" w:hAnsiTheme="minorHAnsi" w:cstheme="minorHAnsi"/>
            <w:b w:val="0"/>
            <w:bCs/>
            <w:sz w:val="20"/>
          </w:rPr>
          <w:t>yasser.alvi@bcw-global.com</w:t>
        </w:r>
      </w:hyperlink>
      <w:r w:rsidRPr="0005260B">
        <w:rPr>
          <w:rStyle w:val="Hyperlink"/>
          <w:rFonts w:asciiTheme="minorHAnsi" w:hAnsiTheme="minorHAnsi" w:cstheme="minorHAnsi"/>
          <w:b w:val="0"/>
          <w:bCs/>
          <w:sz w:val="20"/>
        </w:rPr>
        <w:t xml:space="preserve"> </w:t>
      </w:r>
      <w:r w:rsidRPr="0005260B">
        <w:rPr>
          <w:rStyle w:val="Hyperlink"/>
          <w:rFonts w:asciiTheme="minorHAnsi" w:hAnsiTheme="minorHAnsi" w:cstheme="minorHAnsi"/>
          <w:b w:val="0"/>
          <w:bCs/>
          <w:color w:val="000000" w:themeColor="text1"/>
          <w:sz w:val="20"/>
        </w:rPr>
        <w:t>|</w:t>
      </w:r>
      <w:r w:rsidRPr="0005260B">
        <w:rPr>
          <w:rStyle w:val="Hyperlink"/>
          <w:rFonts w:asciiTheme="minorHAnsi" w:hAnsiTheme="minorHAnsi" w:cstheme="minorHAnsi"/>
          <w:b w:val="0"/>
          <w:bCs/>
          <w:sz w:val="20"/>
        </w:rPr>
        <w:t xml:space="preserve"> rawan.alhosban@bcw-global.com</w:t>
      </w:r>
    </w:p>
    <w:p w14:paraId="5E8AE340" w14:textId="77777777" w:rsidR="00061A94" w:rsidRPr="0005260B" w:rsidRDefault="00061A94" w:rsidP="00510A91">
      <w:pPr>
        <w:pStyle w:val="BodyText1"/>
        <w:tabs>
          <w:tab w:val="left" w:pos="2880"/>
          <w:tab w:val="left" w:pos="5580"/>
        </w:tabs>
        <w:jc w:val="both"/>
        <w:rPr>
          <w:rFonts w:asciiTheme="minorHAnsi" w:hAnsiTheme="minorHAnsi" w:cstheme="minorHAnsi"/>
          <w:bCs/>
          <w:lang w:val="en-US"/>
        </w:rPr>
      </w:pPr>
    </w:p>
    <w:p w14:paraId="113D071D" w14:textId="77777777" w:rsidR="00061A94" w:rsidRPr="0005260B" w:rsidRDefault="00061A94" w:rsidP="00061A94">
      <w:pPr>
        <w:spacing w:after="160" w:line="259" w:lineRule="auto"/>
        <w:rPr>
          <w:rFonts w:asciiTheme="minorHAnsi" w:hAnsiTheme="minorHAnsi" w:cstheme="minorHAnsi"/>
          <w:b/>
          <w:bCs/>
          <w:sz w:val="20"/>
          <w:szCs w:val="20"/>
          <w:lang w:val="en-GB"/>
        </w:rPr>
      </w:pPr>
      <w:r w:rsidRPr="0005260B">
        <w:rPr>
          <w:rFonts w:asciiTheme="minorHAnsi" w:hAnsiTheme="minorHAnsi" w:cstheme="minorHAnsi"/>
          <w:b/>
          <w:bCs/>
          <w:sz w:val="20"/>
          <w:szCs w:val="20"/>
          <w:lang w:val="en-GB"/>
        </w:rPr>
        <w:t>Note to editors:</w:t>
      </w:r>
    </w:p>
    <w:p w14:paraId="6D46967C" w14:textId="77777777" w:rsidR="00061A94" w:rsidRPr="0005260B" w:rsidRDefault="00061A94" w:rsidP="0005260B">
      <w:pPr>
        <w:pStyle w:val="Headingbold9pt"/>
        <w:spacing w:after="40"/>
        <w:rPr>
          <w:rFonts w:asciiTheme="minorHAnsi" w:hAnsiTheme="minorHAnsi" w:cstheme="minorHAnsi"/>
          <w:szCs w:val="18"/>
          <w:lang w:val="en-GB"/>
        </w:rPr>
      </w:pPr>
      <w:r w:rsidRPr="0005260B">
        <w:rPr>
          <w:rFonts w:asciiTheme="minorHAnsi" w:hAnsiTheme="minorHAnsi" w:cstheme="minorHAnsi"/>
          <w:szCs w:val="18"/>
          <w:lang w:val="en-GB"/>
        </w:rPr>
        <w:t>About Landmark Group</w:t>
      </w:r>
    </w:p>
    <w:p w14:paraId="480800AB" w14:textId="77777777" w:rsidR="00061A94" w:rsidRPr="0005260B" w:rsidRDefault="00061A94" w:rsidP="00510A91">
      <w:pPr>
        <w:pStyle w:val="Headingbold9pt"/>
        <w:rPr>
          <w:rFonts w:asciiTheme="minorHAnsi" w:hAnsiTheme="minorHAnsi" w:cstheme="minorHAnsi"/>
          <w:b w:val="0"/>
          <w:bCs/>
          <w:szCs w:val="18"/>
          <w:lang w:val="en-GB"/>
        </w:rPr>
      </w:pPr>
      <w:r w:rsidRPr="0005260B">
        <w:rPr>
          <w:rFonts w:asciiTheme="minorHAnsi" w:hAnsiTheme="minorHAnsi" w:cstheme="minorHAnsi"/>
          <w:b w:val="0"/>
          <w:bCs/>
          <w:szCs w:val="18"/>
          <w:lang w:val="en-GB"/>
        </w:rPr>
        <w:t>Founded in 1973 in Bahrain, the Landmark Group has successfully grown into one of the largest and most successful retail organizations in the Middle East and India. An international, diversified retail and hospitality conglomerate that encourages entrepre</w:t>
      </w:r>
      <w:r w:rsidRPr="0005260B">
        <w:rPr>
          <w:rFonts w:asciiTheme="minorHAnsi" w:hAnsiTheme="minorHAnsi" w:cstheme="minorHAnsi"/>
          <w:b w:val="0"/>
          <w:bCs/>
          <w:szCs w:val="18"/>
          <w:lang w:val="en-GB"/>
        </w:rPr>
        <w:lastRenderedPageBreak/>
        <w:t>neurship to consistently deliver exceptional value, the Group operates over 2300 outlets encompassing over 30 million square feet across the Middle East, North Africa and the Indian sub-continent.</w:t>
      </w:r>
    </w:p>
    <w:p w14:paraId="760E7011" w14:textId="77777777" w:rsidR="00061A94" w:rsidRPr="0005260B" w:rsidRDefault="00061A94" w:rsidP="00510A91">
      <w:pPr>
        <w:pStyle w:val="Headingbold9pt"/>
        <w:rPr>
          <w:rFonts w:asciiTheme="minorHAnsi" w:hAnsiTheme="minorHAnsi" w:cstheme="minorHAnsi"/>
          <w:b w:val="0"/>
          <w:bCs/>
          <w:szCs w:val="18"/>
          <w:lang w:val="en-GB"/>
        </w:rPr>
      </w:pPr>
    </w:p>
    <w:p w14:paraId="22EE351D" w14:textId="77777777" w:rsidR="00061A94" w:rsidRPr="0005260B" w:rsidRDefault="00061A94" w:rsidP="00510A91">
      <w:pPr>
        <w:pStyle w:val="Headingbold9pt"/>
        <w:rPr>
          <w:rFonts w:asciiTheme="minorHAnsi" w:hAnsiTheme="minorHAnsi" w:cstheme="minorHAnsi"/>
          <w:b w:val="0"/>
          <w:bCs/>
          <w:szCs w:val="18"/>
          <w:lang w:val="en-GB"/>
        </w:rPr>
      </w:pPr>
      <w:r w:rsidRPr="0005260B">
        <w:rPr>
          <w:rFonts w:asciiTheme="minorHAnsi" w:hAnsiTheme="minorHAnsi" w:cstheme="minorHAnsi"/>
          <w:b w:val="0"/>
          <w:bCs/>
          <w:szCs w:val="18"/>
          <w:lang w:val="en-GB"/>
        </w:rPr>
        <w:t xml:space="preserve">Landmark Group has a strong workforce of over 55,000 employees and provides a value-driven product range for the family through its retail concepts: </w:t>
      </w:r>
      <w:proofErr w:type="spellStart"/>
      <w:r w:rsidRPr="0005260B">
        <w:rPr>
          <w:rFonts w:asciiTheme="minorHAnsi" w:hAnsiTheme="minorHAnsi" w:cstheme="minorHAnsi"/>
          <w:b w:val="0"/>
          <w:bCs/>
          <w:szCs w:val="18"/>
          <w:lang w:val="en-GB"/>
        </w:rPr>
        <w:t>Centrepoint</w:t>
      </w:r>
      <w:proofErr w:type="spellEnd"/>
      <w:r w:rsidRPr="0005260B">
        <w:rPr>
          <w:rFonts w:asciiTheme="minorHAnsi" w:hAnsiTheme="minorHAnsi" w:cstheme="minorHAnsi"/>
          <w:b w:val="0"/>
          <w:bCs/>
          <w:szCs w:val="18"/>
          <w:lang w:val="en-GB"/>
        </w:rPr>
        <w:t xml:space="preserve">, </w:t>
      </w:r>
      <w:proofErr w:type="spellStart"/>
      <w:r w:rsidRPr="0005260B">
        <w:rPr>
          <w:rFonts w:asciiTheme="minorHAnsi" w:hAnsiTheme="minorHAnsi" w:cstheme="minorHAnsi"/>
          <w:b w:val="0"/>
          <w:bCs/>
          <w:szCs w:val="18"/>
          <w:lang w:val="en-GB"/>
        </w:rPr>
        <w:t>Babyshop</w:t>
      </w:r>
      <w:proofErr w:type="spellEnd"/>
      <w:r w:rsidRPr="0005260B">
        <w:rPr>
          <w:rFonts w:asciiTheme="minorHAnsi" w:hAnsiTheme="minorHAnsi" w:cstheme="minorHAnsi"/>
          <w:b w:val="0"/>
          <w:bCs/>
          <w:szCs w:val="18"/>
          <w:lang w:val="en-GB"/>
        </w:rPr>
        <w:t xml:space="preserve">, Splash, Shoe Mart, Lifestyle, Iconic, Max, </w:t>
      </w:r>
      <w:proofErr w:type="spellStart"/>
      <w:r w:rsidRPr="0005260B">
        <w:rPr>
          <w:rFonts w:asciiTheme="minorHAnsi" w:hAnsiTheme="minorHAnsi" w:cstheme="minorHAnsi"/>
          <w:b w:val="0"/>
          <w:bCs/>
          <w:szCs w:val="18"/>
          <w:lang w:val="en-GB"/>
        </w:rPr>
        <w:t>Shoexpress</w:t>
      </w:r>
      <w:proofErr w:type="spellEnd"/>
      <w:r w:rsidRPr="0005260B">
        <w:rPr>
          <w:rFonts w:asciiTheme="minorHAnsi" w:hAnsiTheme="minorHAnsi" w:cstheme="minorHAnsi"/>
          <w:b w:val="0"/>
          <w:bCs/>
          <w:szCs w:val="18"/>
          <w:lang w:val="en-GB"/>
        </w:rPr>
        <w:t xml:space="preserve">, Home Centre, Home Box and </w:t>
      </w:r>
      <w:proofErr w:type="spellStart"/>
      <w:r w:rsidRPr="0005260B">
        <w:rPr>
          <w:rFonts w:asciiTheme="minorHAnsi" w:hAnsiTheme="minorHAnsi" w:cstheme="minorHAnsi"/>
          <w:b w:val="0"/>
          <w:bCs/>
          <w:szCs w:val="18"/>
          <w:lang w:val="en-GB"/>
        </w:rPr>
        <w:t>Emax</w:t>
      </w:r>
      <w:proofErr w:type="spellEnd"/>
      <w:r w:rsidRPr="0005260B">
        <w:rPr>
          <w:rFonts w:asciiTheme="minorHAnsi" w:hAnsiTheme="minorHAnsi" w:cstheme="minorHAnsi"/>
          <w:b w:val="0"/>
          <w:bCs/>
          <w:szCs w:val="18"/>
          <w:lang w:val="en-GB"/>
        </w:rPr>
        <w:t xml:space="preserve">. In addition to the brands developed in-house, the Group also holds the franchise rights for some of the world's leading fashion and footwear brands in the countries where it operates. </w:t>
      </w:r>
    </w:p>
    <w:p w14:paraId="2778539B" w14:textId="77777777" w:rsidR="00061A94" w:rsidRPr="0005260B" w:rsidRDefault="00061A94" w:rsidP="00510A91">
      <w:pPr>
        <w:pStyle w:val="Headingbold9pt"/>
        <w:rPr>
          <w:rFonts w:asciiTheme="minorHAnsi" w:hAnsiTheme="minorHAnsi" w:cstheme="minorHAnsi"/>
          <w:b w:val="0"/>
          <w:bCs/>
          <w:szCs w:val="18"/>
          <w:lang w:val="en-GB"/>
        </w:rPr>
      </w:pPr>
    </w:p>
    <w:p w14:paraId="4E2C3261" w14:textId="77777777" w:rsidR="00061A94" w:rsidRPr="0005260B" w:rsidRDefault="00061A94" w:rsidP="00510A91">
      <w:pPr>
        <w:pStyle w:val="Headingbold9pt"/>
        <w:rPr>
          <w:rFonts w:asciiTheme="minorHAnsi" w:hAnsiTheme="minorHAnsi" w:cstheme="minorHAnsi"/>
          <w:b w:val="0"/>
          <w:bCs/>
          <w:szCs w:val="18"/>
          <w:lang w:val="en-GB"/>
        </w:rPr>
      </w:pPr>
      <w:r w:rsidRPr="0005260B">
        <w:rPr>
          <w:rFonts w:asciiTheme="minorHAnsi" w:hAnsiTheme="minorHAnsi" w:cstheme="minorHAnsi"/>
          <w:b w:val="0"/>
          <w:bCs/>
          <w:szCs w:val="18"/>
          <w:lang w:val="en-GB"/>
        </w:rPr>
        <w:t xml:space="preserve">The Group has also diversified in the leisure, food and hospitality with Landmark Leisure, Balance Spa &amp; Salon, </w:t>
      </w:r>
      <w:proofErr w:type="spellStart"/>
      <w:r w:rsidRPr="0005260B">
        <w:rPr>
          <w:rFonts w:asciiTheme="minorHAnsi" w:hAnsiTheme="minorHAnsi" w:cstheme="minorHAnsi"/>
          <w:b w:val="0"/>
          <w:bCs/>
          <w:szCs w:val="18"/>
          <w:lang w:val="en-GB"/>
        </w:rPr>
        <w:t>Citymax</w:t>
      </w:r>
      <w:proofErr w:type="spellEnd"/>
      <w:r w:rsidRPr="0005260B">
        <w:rPr>
          <w:rFonts w:asciiTheme="minorHAnsi" w:hAnsiTheme="minorHAnsi" w:cstheme="minorHAnsi"/>
          <w:b w:val="0"/>
          <w:bCs/>
          <w:szCs w:val="18"/>
          <w:lang w:val="en-GB"/>
        </w:rPr>
        <w:t xml:space="preserve"> Hotels, Fitness First and </w:t>
      </w:r>
      <w:proofErr w:type="spellStart"/>
      <w:r w:rsidRPr="0005260B">
        <w:rPr>
          <w:rFonts w:asciiTheme="minorHAnsi" w:hAnsiTheme="minorHAnsi" w:cstheme="minorHAnsi"/>
          <w:b w:val="0"/>
          <w:bCs/>
          <w:szCs w:val="18"/>
          <w:lang w:val="en-GB"/>
        </w:rPr>
        <w:t>Foodmark</w:t>
      </w:r>
      <w:proofErr w:type="spellEnd"/>
      <w:r w:rsidRPr="0005260B">
        <w:rPr>
          <w:rFonts w:asciiTheme="minorHAnsi" w:hAnsiTheme="minorHAnsi" w:cstheme="minorHAnsi"/>
          <w:b w:val="0"/>
          <w:bCs/>
          <w:szCs w:val="18"/>
          <w:lang w:val="en-GB"/>
        </w:rPr>
        <w:t>, the restaurant division, which operates the Group's own and franchise food outlets.</w:t>
      </w:r>
    </w:p>
    <w:p w14:paraId="1095A19C" w14:textId="77777777" w:rsidR="00061A94" w:rsidRPr="0005260B" w:rsidRDefault="00061A94" w:rsidP="00510A91">
      <w:pPr>
        <w:pStyle w:val="Headingbold9pt"/>
        <w:rPr>
          <w:rFonts w:asciiTheme="minorHAnsi" w:hAnsiTheme="minorHAnsi" w:cstheme="minorHAnsi"/>
          <w:szCs w:val="18"/>
          <w:lang w:val="en-GB"/>
        </w:rPr>
      </w:pPr>
    </w:p>
    <w:p w14:paraId="5765A680" w14:textId="77777777" w:rsidR="00061A94" w:rsidRPr="0005260B" w:rsidRDefault="00061A94" w:rsidP="0005260B">
      <w:pPr>
        <w:pStyle w:val="Headingbold9pt"/>
        <w:spacing w:after="40"/>
        <w:rPr>
          <w:rFonts w:asciiTheme="minorHAnsi" w:hAnsiTheme="minorHAnsi" w:cstheme="minorHAnsi"/>
          <w:szCs w:val="18"/>
          <w:lang w:val="en-GB"/>
        </w:rPr>
      </w:pPr>
      <w:r w:rsidRPr="0005260B">
        <w:rPr>
          <w:rFonts w:asciiTheme="minorHAnsi" w:hAnsiTheme="minorHAnsi" w:cstheme="minorHAnsi"/>
          <w:szCs w:val="18"/>
          <w:lang w:val="en-GB"/>
        </w:rPr>
        <w:t xml:space="preserve">About Voltron </w:t>
      </w:r>
    </w:p>
    <w:p w14:paraId="3E7A748D" w14:textId="138075F3" w:rsidR="00061A94" w:rsidRPr="0005260B" w:rsidRDefault="00303B1D" w:rsidP="00510A91">
      <w:pPr>
        <w:pStyle w:val="Headingbold9pt"/>
        <w:rPr>
          <w:rFonts w:asciiTheme="minorHAnsi" w:hAnsiTheme="minorHAnsi" w:cstheme="minorHAnsi"/>
          <w:b w:val="0"/>
          <w:bCs/>
          <w:szCs w:val="18"/>
          <w:lang w:val="en-GB"/>
        </w:rPr>
      </w:pPr>
      <w:r w:rsidRPr="0005260B">
        <w:rPr>
          <w:rFonts w:asciiTheme="minorHAnsi" w:hAnsiTheme="minorHAnsi" w:cstheme="minorHAnsi"/>
          <w:b w:val="0"/>
          <w:bCs/>
          <w:szCs w:val="18"/>
          <w:lang w:val="en-GB"/>
        </w:rPr>
        <w:t xml:space="preserve">Voltron is a blockchain-based open industry platform to create, exchange, approve, and issue Letters of Credit on Corda, R3’s blockchain platform. It is initiated by eight founding member banks, including Bangkok Bank, BNP Paribas, CTBC, HSBC, ING, </w:t>
      </w:r>
      <w:proofErr w:type="spellStart"/>
      <w:r w:rsidRPr="0005260B">
        <w:rPr>
          <w:rFonts w:asciiTheme="minorHAnsi" w:hAnsiTheme="minorHAnsi" w:cstheme="minorHAnsi"/>
          <w:b w:val="0"/>
          <w:bCs/>
          <w:szCs w:val="18"/>
          <w:lang w:val="en-GB"/>
        </w:rPr>
        <w:t>Natwest</w:t>
      </w:r>
      <w:proofErr w:type="spellEnd"/>
      <w:r w:rsidRPr="0005260B">
        <w:rPr>
          <w:rFonts w:asciiTheme="minorHAnsi" w:hAnsiTheme="minorHAnsi" w:cstheme="minorHAnsi"/>
          <w:b w:val="0"/>
          <w:bCs/>
          <w:szCs w:val="18"/>
          <w:lang w:val="en-GB"/>
        </w:rPr>
        <w:t xml:space="preserve">, SEB and Standard Chartered, in partnership with Bain, </w:t>
      </w:r>
      <w:proofErr w:type="spellStart"/>
      <w:r w:rsidRPr="0005260B">
        <w:rPr>
          <w:rFonts w:asciiTheme="minorHAnsi" w:hAnsiTheme="minorHAnsi" w:cstheme="minorHAnsi"/>
          <w:b w:val="0"/>
          <w:bCs/>
          <w:szCs w:val="18"/>
          <w:lang w:val="en-GB"/>
        </w:rPr>
        <w:t>CryptoBLK</w:t>
      </w:r>
      <w:proofErr w:type="spellEnd"/>
      <w:r w:rsidRPr="0005260B">
        <w:rPr>
          <w:rFonts w:asciiTheme="minorHAnsi" w:hAnsiTheme="minorHAnsi" w:cstheme="minorHAnsi"/>
          <w:b w:val="0"/>
          <w:bCs/>
          <w:szCs w:val="18"/>
          <w:lang w:val="en-GB"/>
        </w:rPr>
        <w:t xml:space="preserve"> and R3. Voltron will improve the trade finance process by simplifying letters of credit, delivering shorter settlement times, instant discrepancy resolution and simplified sanctions screening. Voltron is inviting banks, technology partners, and corporates to join the network.</w:t>
      </w:r>
    </w:p>
    <w:p w14:paraId="4239A439" w14:textId="77777777" w:rsidR="00303B1D" w:rsidRPr="0005260B" w:rsidRDefault="00303B1D" w:rsidP="00510A91">
      <w:pPr>
        <w:pStyle w:val="Headingbold9pt"/>
        <w:rPr>
          <w:rFonts w:asciiTheme="minorHAnsi" w:hAnsiTheme="minorHAnsi" w:cstheme="minorHAnsi"/>
          <w:b w:val="0"/>
          <w:bCs/>
          <w:szCs w:val="18"/>
          <w:lang w:val="en-GB"/>
        </w:rPr>
      </w:pPr>
    </w:p>
    <w:p w14:paraId="7AD60B47" w14:textId="77777777" w:rsidR="00061A94" w:rsidRPr="0005260B" w:rsidRDefault="00061A94" w:rsidP="0005260B">
      <w:pPr>
        <w:pStyle w:val="Headingbold9pt"/>
        <w:spacing w:after="40"/>
        <w:rPr>
          <w:rFonts w:asciiTheme="minorHAnsi" w:hAnsiTheme="minorHAnsi" w:cstheme="minorHAnsi"/>
          <w:szCs w:val="18"/>
          <w:lang w:val="en-GB"/>
        </w:rPr>
      </w:pPr>
      <w:r w:rsidRPr="0005260B">
        <w:rPr>
          <w:rFonts w:asciiTheme="minorHAnsi" w:hAnsiTheme="minorHAnsi" w:cstheme="minorHAnsi"/>
          <w:szCs w:val="18"/>
          <w:lang w:val="en-GB"/>
        </w:rPr>
        <w:t xml:space="preserve">About HSBC in the MENAT region </w:t>
      </w:r>
    </w:p>
    <w:p w14:paraId="21348D74" w14:textId="27779C73" w:rsidR="00061A94" w:rsidRDefault="00061A94" w:rsidP="00510A91">
      <w:pPr>
        <w:pStyle w:val="Headingbold9pt"/>
        <w:rPr>
          <w:rFonts w:asciiTheme="minorHAnsi" w:hAnsiTheme="minorHAnsi" w:cstheme="minorHAnsi"/>
          <w:b w:val="0"/>
          <w:bCs/>
          <w:szCs w:val="18"/>
          <w:lang w:val="en-GB"/>
        </w:rPr>
      </w:pPr>
      <w:r w:rsidRPr="0005260B">
        <w:rPr>
          <w:rFonts w:asciiTheme="minorHAnsi" w:hAnsiTheme="minorHAnsi" w:cstheme="minorHAnsi"/>
          <w:b w:val="0"/>
          <w:bCs/>
          <w:szCs w:val="18"/>
          <w:lang w:val="en-GB"/>
        </w:rPr>
        <w:t>HSBC is the largest and most widely represented international banking organisation in the Middle East, North Africa and Turkey (MENAT), with a presence in 9 countries across the region.  HSBC has operations in the United Arab Emirates, Egypt, Turkey, Qatar, Oman, Bahrain, Kuwait and Algeria. In Saudi Arabia, HSBC is a 40% shareholder of Saudi British Bank (SABB), and a 49% shareholder of HSBC Saudi Arabia for investment banking in the Kingdom</w:t>
      </w:r>
      <w:r w:rsidR="00510A91" w:rsidRPr="0005260B">
        <w:rPr>
          <w:rFonts w:asciiTheme="minorHAnsi" w:hAnsiTheme="minorHAnsi" w:cstheme="minorHAnsi"/>
          <w:b w:val="0"/>
          <w:bCs/>
          <w:szCs w:val="18"/>
          <w:lang w:val="en-GB"/>
        </w:rPr>
        <w:t xml:space="preserve">. </w:t>
      </w:r>
      <w:r w:rsidRPr="0005260B">
        <w:rPr>
          <w:rFonts w:asciiTheme="minorHAnsi" w:hAnsiTheme="minorHAnsi" w:cstheme="minorHAnsi"/>
          <w:b w:val="0"/>
          <w:bCs/>
          <w:szCs w:val="18"/>
          <w:lang w:val="en-GB"/>
        </w:rPr>
        <w:t xml:space="preserve">This presence, the widest reach of any international bank in the region, comprises some 350 offices and around 10,500 employees. </w:t>
      </w:r>
      <w:r w:rsidRPr="0005260B">
        <w:rPr>
          <w:rFonts w:asciiTheme="minorHAnsi" w:hAnsiTheme="minorHAnsi" w:cstheme="minorHAnsi"/>
          <w:b w:val="0"/>
          <w:bCs/>
          <w:szCs w:val="18"/>
          <w:lang w:val="en-GB"/>
        </w:rPr>
        <w:lastRenderedPageBreak/>
        <w:t>In the year ending 31st December 2018, HSBC in the MENAT region made a reported profit before tax of US$ 1,557m.</w:t>
      </w:r>
    </w:p>
    <w:p w14:paraId="63C825D9" w14:textId="77777777" w:rsidR="0005260B" w:rsidRPr="0005260B" w:rsidRDefault="0005260B" w:rsidP="00510A91">
      <w:pPr>
        <w:pStyle w:val="Headingbold9pt"/>
        <w:rPr>
          <w:rFonts w:asciiTheme="minorHAnsi" w:hAnsiTheme="minorHAnsi" w:cstheme="minorHAnsi"/>
          <w:b w:val="0"/>
          <w:bCs/>
          <w:szCs w:val="18"/>
          <w:lang w:val="en-GB"/>
        </w:rPr>
      </w:pPr>
    </w:p>
    <w:p w14:paraId="7823611F" w14:textId="77777777" w:rsidR="00061A94" w:rsidRPr="0005260B" w:rsidRDefault="00061A94" w:rsidP="00510A91">
      <w:pPr>
        <w:pStyle w:val="Headingbold9pt"/>
        <w:rPr>
          <w:rFonts w:asciiTheme="minorHAnsi" w:hAnsiTheme="minorHAnsi" w:cstheme="minorHAnsi"/>
          <w:szCs w:val="18"/>
          <w:lang w:val="en-GB"/>
        </w:rPr>
      </w:pPr>
    </w:p>
    <w:p w14:paraId="0051E0A2" w14:textId="77777777" w:rsidR="00061A94" w:rsidRPr="0005260B" w:rsidRDefault="00061A94" w:rsidP="0005260B">
      <w:pPr>
        <w:pStyle w:val="Headingbold9pt"/>
        <w:spacing w:after="40"/>
        <w:rPr>
          <w:rFonts w:asciiTheme="minorHAnsi" w:hAnsiTheme="minorHAnsi" w:cstheme="minorHAnsi"/>
          <w:szCs w:val="18"/>
          <w:lang w:val="en-GB"/>
        </w:rPr>
      </w:pPr>
      <w:r w:rsidRPr="0005260B">
        <w:rPr>
          <w:rFonts w:asciiTheme="minorHAnsi" w:hAnsiTheme="minorHAnsi" w:cstheme="minorHAnsi"/>
          <w:szCs w:val="18"/>
          <w:lang w:val="en-GB"/>
        </w:rPr>
        <w:t xml:space="preserve">The </w:t>
      </w:r>
      <w:proofErr w:type="spellStart"/>
      <w:r w:rsidRPr="0005260B">
        <w:rPr>
          <w:rFonts w:asciiTheme="minorHAnsi" w:hAnsiTheme="minorHAnsi" w:cstheme="minorHAnsi"/>
          <w:szCs w:val="18"/>
          <w:lang w:val="en-GB"/>
        </w:rPr>
        <w:t>Hongkong</w:t>
      </w:r>
      <w:proofErr w:type="spellEnd"/>
      <w:r w:rsidRPr="0005260B">
        <w:rPr>
          <w:rFonts w:asciiTheme="minorHAnsi" w:hAnsiTheme="minorHAnsi" w:cstheme="minorHAnsi"/>
          <w:szCs w:val="18"/>
          <w:lang w:val="en-GB"/>
        </w:rPr>
        <w:t xml:space="preserve"> and Shanghai Banking Corporation Limited</w:t>
      </w:r>
    </w:p>
    <w:p w14:paraId="6023542E" w14:textId="77777777" w:rsidR="00061A94" w:rsidRPr="0005260B" w:rsidRDefault="00061A94" w:rsidP="00510A91">
      <w:pPr>
        <w:pStyle w:val="Headingbold9pt"/>
        <w:rPr>
          <w:rFonts w:asciiTheme="minorHAnsi" w:hAnsiTheme="minorHAnsi" w:cstheme="minorHAnsi"/>
          <w:b w:val="0"/>
          <w:bCs/>
          <w:szCs w:val="18"/>
          <w:lang w:val="en-GB"/>
        </w:rPr>
      </w:pPr>
      <w:r w:rsidRPr="0005260B">
        <w:rPr>
          <w:rFonts w:asciiTheme="minorHAnsi" w:hAnsiTheme="minorHAnsi" w:cstheme="minorHAnsi"/>
          <w:b w:val="0"/>
          <w:bCs/>
          <w:szCs w:val="18"/>
          <w:lang w:val="en-GB"/>
        </w:rPr>
        <w:t xml:space="preserve">The </w:t>
      </w:r>
      <w:proofErr w:type="spellStart"/>
      <w:r w:rsidRPr="0005260B">
        <w:rPr>
          <w:rFonts w:asciiTheme="minorHAnsi" w:hAnsiTheme="minorHAnsi" w:cstheme="minorHAnsi"/>
          <w:b w:val="0"/>
          <w:bCs/>
          <w:szCs w:val="18"/>
          <w:lang w:val="en-GB"/>
        </w:rPr>
        <w:t>Hongkong</w:t>
      </w:r>
      <w:proofErr w:type="spellEnd"/>
      <w:r w:rsidRPr="0005260B">
        <w:rPr>
          <w:rFonts w:asciiTheme="minorHAnsi" w:hAnsiTheme="minorHAnsi" w:cstheme="minorHAnsi"/>
          <w:b w:val="0"/>
          <w:bCs/>
          <w:szCs w:val="18"/>
          <w:lang w:val="en-GB"/>
        </w:rPr>
        <w:t xml:space="preserve"> and Shanghai Banking Corporation Limited is the founding member of the HSBC Group, which serves our customers through four global businesses: Retail Banking and Wealth Management, Commercial Banking, Global Banking and Markets, and Global Private Banking. The Group serves customers worldwide in 66 countries and territories in our geographical regions: Europe, Asia, North America, Latin America, and Middle East and North Africa. With assets of US$2,659bn at 31 March 2019, HSBC is one of the world’s largest banking and financial services organisations.</w:t>
      </w:r>
    </w:p>
    <w:p w14:paraId="466164CB" w14:textId="77777777" w:rsidR="00061A94" w:rsidRPr="0005260B" w:rsidRDefault="00061A94" w:rsidP="00061A94">
      <w:pPr>
        <w:pStyle w:val="Bodytext9ptItalics"/>
        <w:spacing w:line="259" w:lineRule="auto"/>
        <w:rPr>
          <w:rFonts w:asciiTheme="minorHAnsi" w:hAnsiTheme="minorHAnsi" w:cstheme="minorHAnsi"/>
          <w:sz w:val="22"/>
          <w:szCs w:val="22"/>
        </w:rPr>
      </w:pPr>
    </w:p>
    <w:p w14:paraId="2164A02E" w14:textId="77777777" w:rsidR="00061A94" w:rsidRPr="0005260B" w:rsidRDefault="00061A94" w:rsidP="00061A94">
      <w:pPr>
        <w:pStyle w:val="Bodytext9ptItalics"/>
        <w:spacing w:line="259" w:lineRule="auto"/>
        <w:jc w:val="center"/>
        <w:rPr>
          <w:rFonts w:asciiTheme="minorHAnsi" w:hAnsiTheme="minorHAnsi" w:cstheme="minorHAnsi"/>
          <w:sz w:val="20"/>
          <w:szCs w:val="20"/>
        </w:rPr>
      </w:pPr>
      <w:proofErr w:type="gramStart"/>
      <w:r w:rsidRPr="0005260B">
        <w:rPr>
          <w:rFonts w:asciiTheme="minorHAnsi" w:hAnsiTheme="minorHAnsi" w:cstheme="minorHAnsi"/>
          <w:sz w:val="20"/>
          <w:szCs w:val="20"/>
        </w:rPr>
        <w:t>ends/all</w:t>
      </w:r>
      <w:proofErr w:type="gramEnd"/>
    </w:p>
    <w:p w14:paraId="45BED3F7" w14:textId="77777777" w:rsidR="001325A5" w:rsidRPr="0005260B" w:rsidRDefault="001325A5" w:rsidP="00B20DE4">
      <w:pPr>
        <w:pStyle w:val="BodyText1"/>
        <w:ind w:right="-1276"/>
        <w:jc w:val="both"/>
        <w:rPr>
          <w:rFonts w:asciiTheme="minorHAnsi" w:hAnsiTheme="minorHAnsi" w:cstheme="minorHAnsi"/>
          <w:sz w:val="22"/>
          <w:szCs w:val="22"/>
          <w:lang w:val="en-US"/>
        </w:rPr>
      </w:pPr>
    </w:p>
    <w:sectPr w:rsidR="001325A5" w:rsidRPr="0005260B" w:rsidSect="00061A94">
      <w:headerReference w:type="even" r:id="rId17"/>
      <w:headerReference w:type="default" r:id="rId18"/>
      <w:footerReference w:type="even" r:id="rId19"/>
      <w:footerReference w:type="default" r:id="rId20"/>
      <w:headerReference w:type="first" r:id="rId21"/>
      <w:footerReference w:type="first" r:id="rId22"/>
      <w:pgSz w:w="11909" w:h="16834" w:code="9"/>
      <w:pgMar w:top="1224" w:right="1699" w:bottom="346" w:left="193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CD6AB0" w16cid:durableId="1E40E980"/>
  <w16cid:commentId w16cid:paraId="1B36535E" w16cid:durableId="1E40E5A3"/>
  <w16cid:commentId w16cid:paraId="3B97804C" w16cid:durableId="1E40ECCD"/>
  <w16cid:commentId w16cid:paraId="25806D96" w16cid:durableId="1E40E56B"/>
  <w16cid:commentId w16cid:paraId="66424CEA" w16cid:durableId="1E40E83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15BE4" w14:textId="77777777" w:rsidR="004B14F9" w:rsidRDefault="004B14F9">
      <w:r>
        <w:separator/>
      </w:r>
    </w:p>
  </w:endnote>
  <w:endnote w:type="continuationSeparator" w:id="0">
    <w:p w14:paraId="06C719A1" w14:textId="77777777" w:rsidR="004B14F9" w:rsidRDefault="004B1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Next for HSBC Light">
    <w:panose1 w:val="020B0403030202020203"/>
    <w:charset w:val="00"/>
    <w:family w:val="swiss"/>
    <w:notTrueType/>
    <w:pitch w:val="variable"/>
    <w:sig w:usb0="A00002AF"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Univers 45 Light">
    <w:panose1 w:val="00000000000000000000"/>
    <w:charset w:val="00"/>
    <w:family w:val="auto"/>
    <w:notTrueType/>
    <w:pitch w:val="default"/>
    <w:sig w:usb0="00000003" w:usb1="00000000" w:usb2="00000000" w:usb3="00000000" w:csb0="00000001" w:csb1="00000000"/>
  </w:font>
  <w:font w:name="Univers Next Pro Light">
    <w:panose1 w:val="00000000000000000000"/>
    <w:charset w:val="00"/>
    <w:family w:val="auto"/>
    <w:notTrueType/>
    <w:pitch w:val="default"/>
    <w:sig w:usb0="00000003" w:usb1="00000000" w:usb2="00000000" w:usb3="00000000" w:csb0="00000001" w:csb1="00000000"/>
  </w:font>
  <w:font w:name="Univers Next Pro Medium">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B9766" w14:textId="77777777" w:rsidR="001E3BDE" w:rsidRDefault="001E3B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FE27B" w14:textId="77777777" w:rsidR="001E3BDE" w:rsidRDefault="001E3B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D19B3" w14:textId="77777777" w:rsidR="001E3BDE" w:rsidRDefault="001E3B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B4CC0" w14:textId="77777777" w:rsidR="004B14F9" w:rsidRDefault="004B14F9">
      <w:r>
        <w:separator/>
      </w:r>
    </w:p>
  </w:footnote>
  <w:footnote w:type="continuationSeparator" w:id="0">
    <w:p w14:paraId="0309B700" w14:textId="77777777" w:rsidR="004B14F9" w:rsidRDefault="004B1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C61AF" w14:textId="77777777" w:rsidR="001E3BDE" w:rsidRDefault="001E3B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B7FAB" w14:textId="77777777" w:rsidR="001E3BDE" w:rsidRDefault="001E3B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4253E" w14:textId="524BCEBB" w:rsidR="003D03DD" w:rsidRDefault="00061A94">
    <w:pPr>
      <w:pStyle w:val="Header"/>
    </w:pPr>
    <w:r>
      <w:rPr>
        <w:noProof/>
        <w:lang w:val="en-GB" w:eastAsia="en-GB"/>
      </w:rPr>
      <w:drawing>
        <wp:anchor distT="0" distB="0" distL="114300" distR="114300" simplePos="0" relativeHeight="251662336" behindDoc="0" locked="0" layoutInCell="1" allowOverlap="1" wp14:anchorId="56839DD8" wp14:editId="585458F5">
          <wp:simplePos x="0" y="0"/>
          <wp:positionH relativeFrom="margin">
            <wp:posOffset>4403725</wp:posOffset>
          </wp:positionH>
          <wp:positionV relativeFrom="margin">
            <wp:posOffset>3175</wp:posOffset>
          </wp:positionV>
          <wp:extent cx="1503680" cy="352425"/>
          <wp:effectExtent l="0" t="0" r="127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680" cy="352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121CE">
      <w:rPr>
        <w:noProof/>
      </w:rPr>
      <w:t xml:space="preserve"> </w:t>
    </w:r>
    <w:r w:rsidR="003121CE" w:rsidRPr="003121CE">
      <w:rPr>
        <w:noProof/>
        <w:lang w:val="en-GB" w:eastAsia="en-GB"/>
      </w:rPr>
      <w:drawing>
        <wp:anchor distT="0" distB="0" distL="114300" distR="114300" simplePos="0" relativeHeight="251654143" behindDoc="0" locked="0" layoutInCell="1" allowOverlap="1" wp14:anchorId="36D4E5D0" wp14:editId="1C5DB2D3">
          <wp:simplePos x="0" y="0"/>
          <wp:positionH relativeFrom="margin">
            <wp:posOffset>-829310</wp:posOffset>
          </wp:positionH>
          <wp:positionV relativeFrom="paragraph">
            <wp:posOffset>326390</wp:posOffset>
          </wp:positionV>
          <wp:extent cx="1432684" cy="390178"/>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432684" cy="390178"/>
                  </a:xfrm>
                  <a:prstGeom prst="rect">
                    <a:avLst/>
                  </a:prstGeom>
                </pic:spPr>
              </pic:pic>
            </a:graphicData>
          </a:graphic>
          <wp14:sizeRelH relativeFrom="page">
            <wp14:pctWidth>0</wp14:pctWidth>
          </wp14:sizeRelH>
          <wp14:sizeRelV relativeFrom="page">
            <wp14:pctHeight>0</wp14:pctHeight>
          </wp14:sizeRelV>
        </wp:anchor>
      </w:drawing>
    </w:r>
    <w:r w:rsidR="00DF405E" w:rsidRPr="00DF405E">
      <w:rPr>
        <w:noProof/>
        <w:lang w:val="en-GB" w:eastAsia="en-GB"/>
      </w:rPr>
      <mc:AlternateContent>
        <mc:Choice Requires="wps">
          <w:drawing>
            <wp:anchor distT="0" distB="0" distL="114300" distR="114300" simplePos="0" relativeHeight="251660288" behindDoc="0" locked="0" layoutInCell="1" allowOverlap="1" wp14:anchorId="033A3671" wp14:editId="2C98F39E">
              <wp:simplePos x="0" y="0"/>
              <wp:positionH relativeFrom="margin">
                <wp:posOffset>-654050</wp:posOffset>
              </wp:positionH>
              <wp:positionV relativeFrom="page">
                <wp:posOffset>9906000</wp:posOffset>
              </wp:positionV>
              <wp:extent cx="1699260" cy="381000"/>
              <wp:effectExtent l="0" t="0" r="15240" b="9525"/>
              <wp:wrapTopAndBottom/>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9F02C" w14:textId="77777777" w:rsidR="00DF405E" w:rsidRPr="00DF405E" w:rsidRDefault="00DF405E" w:rsidP="00DF405E">
                          <w:pPr>
                            <w:rPr>
                              <w:rFonts w:ascii="Arial" w:eastAsia="Arial Unicode MS" w:hAnsi="Arial" w:cs="Arial"/>
                              <w:b/>
                              <w:sz w:val="14"/>
                              <w:szCs w:val="14"/>
                            </w:rPr>
                          </w:pPr>
                          <w:r w:rsidRPr="00DF405E">
                            <w:rPr>
                              <w:rFonts w:ascii="Arial" w:eastAsia="Arial Unicode MS" w:hAnsi="Arial" w:cs="Arial"/>
                              <w:sz w:val="14"/>
                              <w:szCs w:val="14"/>
                            </w:rPr>
                            <w:t>This news release is issued by</w:t>
                          </w:r>
                          <w:r w:rsidRPr="00DF405E">
                            <w:rPr>
                              <w:rFonts w:ascii="Arial" w:eastAsia="Arial Unicode MS" w:hAnsi="Arial" w:cs="Arial"/>
                              <w:b/>
                              <w:sz w:val="14"/>
                              <w:szCs w:val="14"/>
                            </w:rPr>
                            <w:t xml:space="preserve"> </w:t>
                          </w:r>
                        </w:p>
                        <w:p w14:paraId="4146BC97" w14:textId="31B2B602" w:rsidR="00061A94" w:rsidRDefault="00DF405E" w:rsidP="00061A94">
                          <w:pPr>
                            <w:rPr>
                              <w:rFonts w:ascii="Arial" w:eastAsia="Arial Unicode MS" w:hAnsi="Arial" w:cs="Arial"/>
                              <w:b/>
                              <w:sz w:val="20"/>
                              <w:szCs w:val="20"/>
                            </w:rPr>
                          </w:pPr>
                          <w:r w:rsidRPr="00DF405E">
                            <w:rPr>
                              <w:rFonts w:ascii="Arial" w:eastAsia="Arial Unicode MS" w:hAnsi="Arial" w:cs="Arial"/>
                              <w:b/>
                              <w:sz w:val="20"/>
                              <w:szCs w:val="20"/>
                            </w:rPr>
                            <w:t>HSBC Holdings plc</w:t>
                          </w:r>
                        </w:p>
                        <w:p w14:paraId="20E3FAEC" w14:textId="0AD622DF" w:rsidR="00061A94" w:rsidRPr="00DF405E" w:rsidRDefault="00061A94" w:rsidP="00DF405E">
                          <w:pPr>
                            <w:rPr>
                              <w:rFonts w:ascii="Arial" w:eastAsia="Arial Unicode MS" w:hAnsi="Arial" w:cs="Arial"/>
                              <w:sz w:val="20"/>
                              <w:szCs w:val="20"/>
                            </w:rPr>
                          </w:pPr>
                          <w:r w:rsidRPr="00061A94">
                            <w:rPr>
                              <w:rFonts w:ascii="Arial" w:eastAsia="Arial Unicode MS" w:hAnsi="Arial" w:cs="Arial"/>
                              <w:noProof/>
                              <w:sz w:val="22"/>
                              <w:szCs w:val="22"/>
                              <w:lang w:val="en-GB" w:eastAsia="en-GB"/>
                            </w:rPr>
                            <w:drawing>
                              <wp:inline distT="0" distB="0" distL="0" distR="0" wp14:anchorId="6BF7393F" wp14:editId="6A737CE2">
                                <wp:extent cx="2162175" cy="352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58505" cy="368076"/>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3A3671" id="_x0000_t202" coordsize="21600,21600" o:spt="202" path="m,l,21600r21600,l21600,xe">
              <v:stroke joinstyle="miter"/>
              <v:path gradientshapeok="t" o:connecttype="rect"/>
            </v:shapetype>
            <v:shape id="Text Box 40" o:spid="_x0000_s1026" type="#_x0000_t202" style="position:absolute;margin-left:-51.5pt;margin-top:780pt;width:133.8pt;height:3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" filled="f" stroked="f">
              <v:textbox style="mso-fit-shape-to-text:t" inset="0,0,0,0">
                <w:txbxContent>
                  <w:p w14:paraId="1249F02C" w14:textId="77777777" w:rsidR="00DF405E" w:rsidRPr="00DF405E" w:rsidRDefault="00DF405E" w:rsidP="00DF405E">
                    <w:pPr>
                      <w:rPr>
                        <w:rFonts w:ascii="Arial" w:eastAsia="Arial Unicode MS" w:hAnsi="Arial" w:cs="Arial"/>
                        <w:b/>
                        <w:sz w:val="14"/>
                        <w:szCs w:val="14"/>
                      </w:rPr>
                    </w:pPr>
                    <w:r w:rsidRPr="00DF405E">
                      <w:rPr>
                        <w:rFonts w:ascii="Arial" w:eastAsia="Arial Unicode MS" w:hAnsi="Arial" w:cs="Arial"/>
                        <w:sz w:val="14"/>
                        <w:szCs w:val="14"/>
                      </w:rPr>
                      <w:t>This news release is issued by</w:t>
                    </w:r>
                    <w:r w:rsidRPr="00DF405E">
                      <w:rPr>
                        <w:rFonts w:ascii="Arial" w:eastAsia="Arial Unicode MS" w:hAnsi="Arial" w:cs="Arial"/>
                        <w:b/>
                        <w:sz w:val="14"/>
                        <w:szCs w:val="14"/>
                      </w:rPr>
                      <w:t xml:space="preserve"> </w:t>
                    </w:r>
                  </w:p>
                  <w:p w14:paraId="4146BC97" w14:textId="31B2B602" w:rsidR="00061A94" w:rsidRDefault="00DF405E" w:rsidP="00061A94">
                    <w:pPr>
                      <w:rPr>
                        <w:rFonts w:ascii="Arial" w:eastAsia="Arial Unicode MS" w:hAnsi="Arial" w:cs="Arial"/>
                        <w:b/>
                        <w:sz w:val="20"/>
                        <w:szCs w:val="20"/>
                      </w:rPr>
                    </w:pPr>
                    <w:r w:rsidRPr="00DF405E">
                      <w:rPr>
                        <w:rFonts w:ascii="Arial" w:eastAsia="Arial Unicode MS" w:hAnsi="Arial" w:cs="Arial"/>
                        <w:b/>
                        <w:sz w:val="20"/>
                        <w:szCs w:val="20"/>
                      </w:rPr>
                      <w:t>HSBC Holdings plc</w:t>
                    </w:r>
                  </w:p>
                  <w:p w14:paraId="20E3FAEC" w14:textId="0AD622DF" w:rsidR="00061A94" w:rsidRPr="00DF405E" w:rsidRDefault="00061A94" w:rsidP="00DF405E">
                    <w:pPr>
                      <w:rPr>
                        <w:rFonts w:ascii="Arial" w:eastAsia="Arial Unicode MS" w:hAnsi="Arial" w:cs="Arial"/>
                        <w:sz w:val="20"/>
                        <w:szCs w:val="20"/>
                      </w:rPr>
                    </w:pPr>
                    <w:r w:rsidRPr="00061A94">
                      <w:rPr>
                        <w:rFonts w:ascii="Arial" w:eastAsia="Arial Unicode MS" w:hAnsi="Arial" w:cs="Arial"/>
                        <w:noProof/>
                        <w:sz w:val="22"/>
                        <w:szCs w:val="22"/>
                        <w:lang w:val="en-GB" w:eastAsia="en-GB"/>
                      </w:rPr>
                      <w:drawing>
                        <wp:inline distT="0" distB="0" distL="0" distR="0" wp14:anchorId="6BF7393F" wp14:editId="6A737CE2">
                          <wp:extent cx="2162175" cy="352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58505" cy="368076"/>
                                  </a:xfrm>
                                  <a:prstGeom prst="rect">
                                    <a:avLst/>
                                  </a:prstGeom>
                                  <a:noFill/>
                                  <a:ln>
                                    <a:noFill/>
                                  </a:ln>
                                </pic:spPr>
                              </pic:pic>
                            </a:graphicData>
                          </a:graphic>
                        </wp:inline>
                      </w:drawing>
                    </w:r>
                  </w:p>
                </w:txbxContent>
              </v:textbox>
              <w10:wrap type="topAndBottom"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252CC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38C9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D460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C0491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9C62A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8CF1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DA60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7E36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FC67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AA8D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3765F8"/>
    <w:multiLevelType w:val="hybridMultilevel"/>
    <w:tmpl w:val="0AB8A91A"/>
    <w:lvl w:ilvl="0" w:tplc="E50466E4">
      <w:start w:val="1"/>
      <w:numFmt w:val="decimal"/>
      <w:lvlText w:val="%1."/>
      <w:lvlJc w:val="left"/>
      <w:pPr>
        <w:ind w:left="720" w:hanging="360"/>
      </w:pPr>
      <w:rPr>
        <w:rFonts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C33783"/>
    <w:multiLevelType w:val="hybridMultilevel"/>
    <w:tmpl w:val="99DAC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FF6487"/>
    <w:multiLevelType w:val="hybridMultilevel"/>
    <w:tmpl w:val="B1047F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5A3C77"/>
    <w:multiLevelType w:val="hybridMultilevel"/>
    <w:tmpl w:val="D3448926"/>
    <w:lvl w:ilvl="0" w:tplc="17D0F7FC">
      <w:start w:val="1"/>
      <w:numFmt w:val="upperRoman"/>
      <w:lvlText w:val="%1."/>
      <w:lvlJc w:val="left"/>
      <w:pPr>
        <w:tabs>
          <w:tab w:val="num" w:pos="540"/>
        </w:tabs>
        <w:ind w:left="540" w:hanging="180"/>
      </w:pPr>
      <w:rPr>
        <w:rFonts w:hint="default"/>
      </w:rPr>
    </w:lvl>
    <w:lvl w:ilvl="1" w:tplc="79E4990A">
      <w:start w:val="1"/>
      <w:numFmt w:val="upperLetter"/>
      <w:lvlText w:val="%2."/>
      <w:lvlJc w:val="left"/>
      <w:pPr>
        <w:tabs>
          <w:tab w:val="num" w:pos="1440"/>
        </w:tabs>
        <w:ind w:left="1440" w:hanging="360"/>
      </w:pPr>
      <w:rPr>
        <w:rFonts w:hint="default"/>
      </w:rPr>
    </w:lvl>
    <w:lvl w:ilvl="2" w:tplc="2834DEF2">
      <w:start w:val="1"/>
      <w:numFmt w:val="lowerLetter"/>
      <w:lvlText w:val="%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550B1B"/>
    <w:multiLevelType w:val="hybridMultilevel"/>
    <w:tmpl w:val="53E606C6"/>
    <w:lvl w:ilvl="0" w:tplc="5BD6931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4"/>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528"/>
    <w:rsid w:val="00013190"/>
    <w:rsid w:val="00014F34"/>
    <w:rsid w:val="0003436B"/>
    <w:rsid w:val="0004497E"/>
    <w:rsid w:val="0005260B"/>
    <w:rsid w:val="00061A94"/>
    <w:rsid w:val="000662BE"/>
    <w:rsid w:val="00071AC5"/>
    <w:rsid w:val="00073CE3"/>
    <w:rsid w:val="00082B9A"/>
    <w:rsid w:val="00085A60"/>
    <w:rsid w:val="00093C32"/>
    <w:rsid w:val="000A17FA"/>
    <w:rsid w:val="000A6662"/>
    <w:rsid w:val="000C2D38"/>
    <w:rsid w:val="000C734A"/>
    <w:rsid w:val="000F5E35"/>
    <w:rsid w:val="000F718A"/>
    <w:rsid w:val="0010002F"/>
    <w:rsid w:val="001325A5"/>
    <w:rsid w:val="00156DFB"/>
    <w:rsid w:val="001912BD"/>
    <w:rsid w:val="00191A46"/>
    <w:rsid w:val="00192BD8"/>
    <w:rsid w:val="0019735F"/>
    <w:rsid w:val="001A7E08"/>
    <w:rsid w:val="001D0713"/>
    <w:rsid w:val="001E2F19"/>
    <w:rsid w:val="001E3BDE"/>
    <w:rsid w:val="001E7C75"/>
    <w:rsid w:val="001F203C"/>
    <w:rsid w:val="001F7C2A"/>
    <w:rsid w:val="00210AEE"/>
    <w:rsid w:val="002158E0"/>
    <w:rsid w:val="00234D6C"/>
    <w:rsid w:val="00244536"/>
    <w:rsid w:val="00246B2E"/>
    <w:rsid w:val="002722A9"/>
    <w:rsid w:val="00276AEC"/>
    <w:rsid w:val="002904E4"/>
    <w:rsid w:val="00297F54"/>
    <w:rsid w:val="002B1D38"/>
    <w:rsid w:val="002C3014"/>
    <w:rsid w:val="002D210B"/>
    <w:rsid w:val="002E0227"/>
    <w:rsid w:val="00303B1D"/>
    <w:rsid w:val="00306F3D"/>
    <w:rsid w:val="003121CE"/>
    <w:rsid w:val="003163FB"/>
    <w:rsid w:val="00316D9A"/>
    <w:rsid w:val="00323988"/>
    <w:rsid w:val="0032430F"/>
    <w:rsid w:val="003303E6"/>
    <w:rsid w:val="00333D12"/>
    <w:rsid w:val="00341948"/>
    <w:rsid w:val="0034204F"/>
    <w:rsid w:val="00357029"/>
    <w:rsid w:val="00360D31"/>
    <w:rsid w:val="00373181"/>
    <w:rsid w:val="0037754B"/>
    <w:rsid w:val="003867FE"/>
    <w:rsid w:val="003D03DD"/>
    <w:rsid w:val="003E119C"/>
    <w:rsid w:val="003F0229"/>
    <w:rsid w:val="00420066"/>
    <w:rsid w:val="00422266"/>
    <w:rsid w:val="004329E3"/>
    <w:rsid w:val="00445E1C"/>
    <w:rsid w:val="00447A7E"/>
    <w:rsid w:val="00461B61"/>
    <w:rsid w:val="00467298"/>
    <w:rsid w:val="004935D0"/>
    <w:rsid w:val="004A26EB"/>
    <w:rsid w:val="004B14F9"/>
    <w:rsid w:val="004C7FBB"/>
    <w:rsid w:val="004D1C88"/>
    <w:rsid w:val="004F10B6"/>
    <w:rsid w:val="004F729B"/>
    <w:rsid w:val="00504D91"/>
    <w:rsid w:val="00510921"/>
    <w:rsid w:val="00510A91"/>
    <w:rsid w:val="0051707C"/>
    <w:rsid w:val="005326B6"/>
    <w:rsid w:val="00546F97"/>
    <w:rsid w:val="00556B1C"/>
    <w:rsid w:val="00561E81"/>
    <w:rsid w:val="00564849"/>
    <w:rsid w:val="00565C05"/>
    <w:rsid w:val="00572549"/>
    <w:rsid w:val="00584212"/>
    <w:rsid w:val="00591528"/>
    <w:rsid w:val="005929E0"/>
    <w:rsid w:val="005A2132"/>
    <w:rsid w:val="005B2D88"/>
    <w:rsid w:val="005B684A"/>
    <w:rsid w:val="005C2FC0"/>
    <w:rsid w:val="005E4A1E"/>
    <w:rsid w:val="005F5768"/>
    <w:rsid w:val="006023A8"/>
    <w:rsid w:val="00607DC7"/>
    <w:rsid w:val="00630706"/>
    <w:rsid w:val="00635D19"/>
    <w:rsid w:val="00647B16"/>
    <w:rsid w:val="00651771"/>
    <w:rsid w:val="00694362"/>
    <w:rsid w:val="006B381D"/>
    <w:rsid w:val="006C2B6B"/>
    <w:rsid w:val="006C76EA"/>
    <w:rsid w:val="007007B5"/>
    <w:rsid w:val="00733E7F"/>
    <w:rsid w:val="00735255"/>
    <w:rsid w:val="00736240"/>
    <w:rsid w:val="00755CA1"/>
    <w:rsid w:val="00764FAD"/>
    <w:rsid w:val="00771C55"/>
    <w:rsid w:val="00784AB2"/>
    <w:rsid w:val="007B664F"/>
    <w:rsid w:val="007C7250"/>
    <w:rsid w:val="007D780C"/>
    <w:rsid w:val="007E0245"/>
    <w:rsid w:val="007F19CA"/>
    <w:rsid w:val="00801FCA"/>
    <w:rsid w:val="00807330"/>
    <w:rsid w:val="00813C3C"/>
    <w:rsid w:val="00816C51"/>
    <w:rsid w:val="00817969"/>
    <w:rsid w:val="0082245A"/>
    <w:rsid w:val="00842A3A"/>
    <w:rsid w:val="00845A82"/>
    <w:rsid w:val="00856504"/>
    <w:rsid w:val="0086490C"/>
    <w:rsid w:val="00872387"/>
    <w:rsid w:val="008767E8"/>
    <w:rsid w:val="008838F1"/>
    <w:rsid w:val="008A65AB"/>
    <w:rsid w:val="008D0E5D"/>
    <w:rsid w:val="008D2E8D"/>
    <w:rsid w:val="008E2942"/>
    <w:rsid w:val="008E5517"/>
    <w:rsid w:val="00905B3E"/>
    <w:rsid w:val="009123F0"/>
    <w:rsid w:val="009163CC"/>
    <w:rsid w:val="00933964"/>
    <w:rsid w:val="00941088"/>
    <w:rsid w:val="00943BCC"/>
    <w:rsid w:val="0094685A"/>
    <w:rsid w:val="009603D1"/>
    <w:rsid w:val="009A11DA"/>
    <w:rsid w:val="009C0C5F"/>
    <w:rsid w:val="009C5A25"/>
    <w:rsid w:val="009E5C4B"/>
    <w:rsid w:val="00A045B5"/>
    <w:rsid w:val="00A273B7"/>
    <w:rsid w:val="00A37570"/>
    <w:rsid w:val="00A37BA9"/>
    <w:rsid w:val="00A46443"/>
    <w:rsid w:val="00A579C5"/>
    <w:rsid w:val="00A6015F"/>
    <w:rsid w:val="00A87030"/>
    <w:rsid w:val="00AA7DE9"/>
    <w:rsid w:val="00AB2DB3"/>
    <w:rsid w:val="00AC5C30"/>
    <w:rsid w:val="00AC6DE8"/>
    <w:rsid w:val="00AF53A7"/>
    <w:rsid w:val="00B20DE4"/>
    <w:rsid w:val="00B31128"/>
    <w:rsid w:val="00B31ADD"/>
    <w:rsid w:val="00B330CA"/>
    <w:rsid w:val="00B41091"/>
    <w:rsid w:val="00B45847"/>
    <w:rsid w:val="00B5125F"/>
    <w:rsid w:val="00B54D16"/>
    <w:rsid w:val="00B700F4"/>
    <w:rsid w:val="00B77210"/>
    <w:rsid w:val="00B91F2B"/>
    <w:rsid w:val="00B97FB6"/>
    <w:rsid w:val="00BA362F"/>
    <w:rsid w:val="00BC0EBC"/>
    <w:rsid w:val="00BC3DC1"/>
    <w:rsid w:val="00BC6367"/>
    <w:rsid w:val="00BD2417"/>
    <w:rsid w:val="00BE0167"/>
    <w:rsid w:val="00BF22AF"/>
    <w:rsid w:val="00BF566F"/>
    <w:rsid w:val="00C00A32"/>
    <w:rsid w:val="00C0281D"/>
    <w:rsid w:val="00C07493"/>
    <w:rsid w:val="00C20B93"/>
    <w:rsid w:val="00C24222"/>
    <w:rsid w:val="00C573F5"/>
    <w:rsid w:val="00C82522"/>
    <w:rsid w:val="00CA0078"/>
    <w:rsid w:val="00CF6C7A"/>
    <w:rsid w:val="00D23E34"/>
    <w:rsid w:val="00D41BC6"/>
    <w:rsid w:val="00D62C1C"/>
    <w:rsid w:val="00D8352F"/>
    <w:rsid w:val="00D87EBF"/>
    <w:rsid w:val="00DA5017"/>
    <w:rsid w:val="00DB01F2"/>
    <w:rsid w:val="00DD31C4"/>
    <w:rsid w:val="00DE18B8"/>
    <w:rsid w:val="00DF10CE"/>
    <w:rsid w:val="00DF405E"/>
    <w:rsid w:val="00E044BD"/>
    <w:rsid w:val="00E12ED0"/>
    <w:rsid w:val="00E51B88"/>
    <w:rsid w:val="00E63857"/>
    <w:rsid w:val="00E7321C"/>
    <w:rsid w:val="00E86684"/>
    <w:rsid w:val="00EB7DCA"/>
    <w:rsid w:val="00ED1D6E"/>
    <w:rsid w:val="00ED4ACD"/>
    <w:rsid w:val="00EE1EA3"/>
    <w:rsid w:val="00F00FD7"/>
    <w:rsid w:val="00F10AED"/>
    <w:rsid w:val="00F3296E"/>
    <w:rsid w:val="00F32B45"/>
    <w:rsid w:val="00F71235"/>
    <w:rsid w:val="00F775E7"/>
    <w:rsid w:val="00FA0627"/>
    <w:rsid w:val="00FB508C"/>
    <w:rsid w:val="00FC343F"/>
    <w:rsid w:val="00FD191F"/>
    <w:rsid w:val="00FD6E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03A9597"/>
  <w15:docId w15:val="{D6BD31C9-D880-4D30-BFB4-B97F39868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017"/>
    <w:rPr>
      <w:rFonts w:ascii="Univers Next for HSBC Light" w:hAnsi="Univers Next for HSBC Light"/>
      <w:sz w:val="24"/>
      <w:szCs w:val="24"/>
    </w:rPr>
  </w:style>
  <w:style w:type="paragraph" w:styleId="Heading5">
    <w:name w:val="heading 5"/>
    <w:basedOn w:val="Normal"/>
    <w:next w:val="Normal"/>
    <w:link w:val="Heading5Char"/>
    <w:qFormat/>
    <w:rsid w:val="006B381D"/>
    <w:pPr>
      <w:keepNext/>
      <w:outlineLvl w:val="4"/>
    </w:pPr>
    <w:rPr>
      <w:rFonts w:ascii="Times New Roman" w:hAnsi="Times New Roman"/>
      <w:i/>
      <w:sz w:val="16"/>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ubject">
    <w:name w:val="Letter Subject"/>
    <w:basedOn w:val="LetterDate"/>
    <w:rsid w:val="00635D19"/>
    <w:pPr>
      <w:spacing w:line="220" w:lineRule="exact"/>
    </w:pPr>
    <w:rPr>
      <w:lang w:val="fr-FR"/>
    </w:rPr>
  </w:style>
  <w:style w:type="paragraph" w:styleId="Header">
    <w:name w:val="header"/>
    <w:basedOn w:val="Normal"/>
    <w:link w:val="HeaderChar"/>
    <w:uiPriority w:val="99"/>
    <w:rsid w:val="00A273B7"/>
    <w:pPr>
      <w:tabs>
        <w:tab w:val="center" w:pos="4320"/>
        <w:tab w:val="right" w:pos="8640"/>
      </w:tabs>
    </w:pPr>
  </w:style>
  <w:style w:type="paragraph" w:styleId="Footer">
    <w:name w:val="footer"/>
    <w:basedOn w:val="Normal"/>
    <w:rsid w:val="00A273B7"/>
    <w:pPr>
      <w:tabs>
        <w:tab w:val="center" w:pos="4320"/>
        <w:tab w:val="right" w:pos="8640"/>
      </w:tabs>
    </w:pPr>
  </w:style>
  <w:style w:type="character" w:styleId="Hyperlink">
    <w:name w:val="Hyperlink"/>
    <w:basedOn w:val="DefaultParagraphFont"/>
    <w:rsid w:val="001F203C"/>
    <w:rPr>
      <w:color w:val="0000FF"/>
      <w:u w:val="single"/>
    </w:rPr>
  </w:style>
  <w:style w:type="paragraph" w:customStyle="1" w:styleId="LetterDate">
    <w:name w:val="Letter Date"/>
    <w:basedOn w:val="Normal"/>
    <w:rsid w:val="00422266"/>
    <w:pPr>
      <w:tabs>
        <w:tab w:val="left" w:pos="6480"/>
      </w:tabs>
      <w:spacing w:line="200" w:lineRule="exact"/>
    </w:pPr>
    <w:rPr>
      <w:rFonts w:ascii="Arial" w:hAnsi="Arial" w:cs="Arial"/>
      <w:sz w:val="18"/>
      <w:szCs w:val="18"/>
    </w:rPr>
  </w:style>
  <w:style w:type="paragraph" w:customStyle="1" w:styleId="HsbcSalutation">
    <w:name w:val="Hsbc Salutation"/>
    <w:basedOn w:val="Normal"/>
    <w:rsid w:val="008D2E8D"/>
    <w:pPr>
      <w:tabs>
        <w:tab w:val="left" w:pos="6480"/>
      </w:tabs>
      <w:spacing w:before="800" w:line="200" w:lineRule="exact"/>
    </w:pPr>
    <w:rPr>
      <w:rFonts w:ascii="Arial" w:hAnsi="Arial" w:cs="Arial"/>
      <w:sz w:val="18"/>
      <w:szCs w:val="18"/>
    </w:rPr>
  </w:style>
  <w:style w:type="paragraph" w:customStyle="1" w:styleId="Letterbodytext">
    <w:name w:val="Letter body text"/>
    <w:basedOn w:val="Normal"/>
    <w:rsid w:val="00071AC5"/>
    <w:pPr>
      <w:spacing w:line="220" w:lineRule="exact"/>
    </w:pPr>
    <w:rPr>
      <w:rFonts w:ascii="Arial" w:hAnsi="Arial" w:cs="Arial"/>
      <w:sz w:val="18"/>
      <w:szCs w:val="18"/>
    </w:rPr>
  </w:style>
  <w:style w:type="paragraph" w:customStyle="1" w:styleId="Letterclosing">
    <w:name w:val="Letter closing"/>
    <w:basedOn w:val="Normal"/>
    <w:rsid w:val="00071AC5"/>
    <w:pPr>
      <w:spacing w:before="400"/>
    </w:pPr>
    <w:rPr>
      <w:rFonts w:ascii="Arial" w:hAnsi="Arial" w:cs="Arial"/>
      <w:sz w:val="18"/>
      <w:szCs w:val="18"/>
      <w:lang w:val="pt-BR"/>
    </w:rPr>
  </w:style>
  <w:style w:type="paragraph" w:customStyle="1" w:styleId="Nameandposition">
    <w:name w:val="Name and position"/>
    <w:basedOn w:val="Letterclosing"/>
    <w:rsid w:val="00071AC5"/>
    <w:pPr>
      <w:spacing w:before="1200" w:line="220" w:lineRule="exact"/>
    </w:pPr>
  </w:style>
  <w:style w:type="paragraph" w:customStyle="1" w:styleId="StyleHsbcSalutationHeadingsUniversNextforHSBCMediumB">
    <w:name w:val="Style Hsbc Salutation + +Headings (Univers Next for HSBC Medium) B..."/>
    <w:basedOn w:val="HsbcSalutation"/>
    <w:rsid w:val="007D780C"/>
    <w:pPr>
      <w:spacing w:before="240" w:line="220" w:lineRule="exact"/>
    </w:pPr>
    <w:rPr>
      <w:rFonts w:asciiTheme="majorHAnsi" w:hAnsiTheme="majorHAnsi" w:cs="Times New Roman"/>
      <w:b/>
      <w:bCs/>
      <w:szCs w:val="20"/>
    </w:rPr>
  </w:style>
  <w:style w:type="paragraph" w:customStyle="1" w:styleId="StyleHsbcSalutationUniversNextforHSBCLightLinespacing">
    <w:name w:val="Style Hsbc Salutation + Univers Next for HSBC Light Line spacing: ..."/>
    <w:basedOn w:val="HsbcSalutation"/>
    <w:rsid w:val="007D780C"/>
    <w:pPr>
      <w:spacing w:before="360" w:line="220" w:lineRule="exact"/>
    </w:pPr>
    <w:rPr>
      <w:rFonts w:ascii="Univers Next for HSBC Light" w:hAnsi="Univers Next for HSBC Light" w:cs="Times New Roman"/>
      <w:szCs w:val="20"/>
    </w:rPr>
  </w:style>
  <w:style w:type="paragraph" w:customStyle="1" w:styleId="Address">
    <w:name w:val="Address"/>
    <w:basedOn w:val="Normal"/>
    <w:uiPriority w:val="99"/>
    <w:rsid w:val="007D780C"/>
    <w:pPr>
      <w:suppressAutoHyphens/>
      <w:autoSpaceDE w:val="0"/>
      <w:autoSpaceDN w:val="0"/>
      <w:adjustRightInd w:val="0"/>
      <w:spacing w:line="180" w:lineRule="atLeast"/>
      <w:textAlignment w:val="center"/>
    </w:pPr>
    <w:rPr>
      <w:rFonts w:ascii="Univers 45 Light" w:hAnsi="Univers 45 Light" w:cs="Univers 45 Light"/>
      <w:color w:val="000000"/>
      <w:sz w:val="14"/>
      <w:szCs w:val="14"/>
      <w:lang w:val="en-GB"/>
    </w:rPr>
  </w:style>
  <w:style w:type="paragraph" w:customStyle="1" w:styleId="StyleLetterDateUniversNextforHSBCLight">
    <w:name w:val="Style Letter Date + Univers Next for HSBC Light"/>
    <w:basedOn w:val="LetterDate"/>
    <w:rsid w:val="007D780C"/>
    <w:rPr>
      <w:rFonts w:ascii="Univers Next for HSBC Light" w:hAnsi="Univers Next for HSBC Light"/>
    </w:rPr>
  </w:style>
  <w:style w:type="paragraph" w:customStyle="1" w:styleId="BasicParagraph">
    <w:name w:val="[Basic Paragraph]"/>
    <w:basedOn w:val="Normal"/>
    <w:uiPriority w:val="99"/>
    <w:rsid w:val="007D780C"/>
    <w:pPr>
      <w:autoSpaceDE w:val="0"/>
      <w:autoSpaceDN w:val="0"/>
      <w:adjustRightInd w:val="0"/>
      <w:spacing w:after="227" w:line="230" w:lineRule="atLeast"/>
      <w:textAlignment w:val="center"/>
    </w:pPr>
    <w:rPr>
      <w:rFonts w:ascii="Univers Next Pro Light" w:hAnsi="Univers Next Pro Light" w:cs="Univers Next Pro Light"/>
      <w:color w:val="000000"/>
      <w:sz w:val="18"/>
      <w:szCs w:val="18"/>
      <w:lang w:val="en-GB"/>
    </w:rPr>
  </w:style>
  <w:style w:type="paragraph" w:customStyle="1" w:styleId="Subhead">
    <w:name w:val="Subhead"/>
    <w:basedOn w:val="Normal"/>
    <w:uiPriority w:val="99"/>
    <w:rsid w:val="007D780C"/>
    <w:pPr>
      <w:suppressAutoHyphens/>
      <w:autoSpaceDE w:val="0"/>
      <w:autoSpaceDN w:val="0"/>
      <w:adjustRightInd w:val="0"/>
      <w:spacing w:before="113" w:line="230" w:lineRule="atLeast"/>
      <w:textAlignment w:val="center"/>
    </w:pPr>
    <w:rPr>
      <w:rFonts w:ascii="Univers Next Pro Medium" w:hAnsi="Univers Next Pro Medium" w:cs="Univers Next Pro Medium"/>
      <w:color w:val="000000"/>
      <w:spacing w:val="-2"/>
      <w:sz w:val="18"/>
      <w:szCs w:val="18"/>
      <w:lang w:val="en-GB"/>
    </w:rPr>
  </w:style>
  <w:style w:type="paragraph" w:customStyle="1" w:styleId="RegistraionandAddresslines">
    <w:name w:val="Registraion and Address lines"/>
    <w:basedOn w:val="Normal"/>
    <w:uiPriority w:val="99"/>
    <w:rsid w:val="00DE18B8"/>
    <w:pPr>
      <w:suppressAutoHyphens/>
      <w:autoSpaceDE w:val="0"/>
      <w:autoSpaceDN w:val="0"/>
      <w:adjustRightInd w:val="0"/>
      <w:spacing w:line="180" w:lineRule="atLeast"/>
      <w:textAlignment w:val="center"/>
    </w:pPr>
    <w:rPr>
      <w:rFonts w:ascii="Univers 45 Light" w:hAnsi="Univers 45 Light" w:cs="Univers 45 Light"/>
      <w:color w:val="000000"/>
      <w:sz w:val="14"/>
      <w:szCs w:val="14"/>
      <w:lang w:val="en-GB"/>
    </w:rPr>
  </w:style>
  <w:style w:type="paragraph" w:styleId="BalloonText">
    <w:name w:val="Balloon Text"/>
    <w:basedOn w:val="Normal"/>
    <w:link w:val="BalloonTextChar"/>
    <w:semiHidden/>
    <w:unhideWhenUsed/>
    <w:rsid w:val="00943BCC"/>
    <w:rPr>
      <w:rFonts w:ascii="Segoe UI" w:hAnsi="Segoe UI" w:cs="Segoe UI"/>
      <w:sz w:val="18"/>
      <w:szCs w:val="18"/>
    </w:rPr>
  </w:style>
  <w:style w:type="character" w:customStyle="1" w:styleId="BalloonTextChar">
    <w:name w:val="Balloon Text Char"/>
    <w:basedOn w:val="DefaultParagraphFont"/>
    <w:link w:val="BalloonText"/>
    <w:semiHidden/>
    <w:rsid w:val="00943BCC"/>
    <w:rPr>
      <w:rFonts w:ascii="Segoe UI" w:hAnsi="Segoe UI" w:cs="Segoe UI"/>
      <w:sz w:val="18"/>
      <w:szCs w:val="18"/>
    </w:rPr>
  </w:style>
  <w:style w:type="table" w:styleId="TableGrid">
    <w:name w:val="Table Grid"/>
    <w:basedOn w:val="TableNormal"/>
    <w:rsid w:val="006B3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6B381D"/>
    <w:rPr>
      <w:i/>
      <w:sz w:val="16"/>
      <w:lang w:val="en-GB" w:eastAsia="en-GB"/>
    </w:rPr>
  </w:style>
  <w:style w:type="paragraph" w:styleId="CommentText">
    <w:name w:val="annotation text"/>
    <w:basedOn w:val="Normal"/>
    <w:link w:val="CommentTextChar"/>
    <w:semiHidden/>
    <w:rsid w:val="006B381D"/>
    <w:rPr>
      <w:rFonts w:ascii="Times New Roman" w:hAnsi="Times New Roman"/>
      <w:sz w:val="20"/>
      <w:szCs w:val="20"/>
      <w:lang w:val="en-GB" w:eastAsia="en-GB"/>
    </w:rPr>
  </w:style>
  <w:style w:type="character" w:customStyle="1" w:styleId="CommentTextChar">
    <w:name w:val="Comment Text Char"/>
    <w:basedOn w:val="DefaultParagraphFont"/>
    <w:link w:val="CommentText"/>
    <w:semiHidden/>
    <w:rsid w:val="006B381D"/>
    <w:rPr>
      <w:lang w:val="en-GB" w:eastAsia="en-GB"/>
    </w:rPr>
  </w:style>
  <w:style w:type="paragraph" w:styleId="BodyText">
    <w:name w:val="Body Text"/>
    <w:basedOn w:val="Normal"/>
    <w:link w:val="BodyTextChar"/>
    <w:rsid w:val="002C3014"/>
    <w:rPr>
      <w:rFonts w:ascii="Times New Roman" w:hAnsi="Times New Roman"/>
      <w:b/>
      <w:sz w:val="28"/>
      <w:szCs w:val="20"/>
      <w:lang w:val="en-GB" w:eastAsia="en-GB"/>
    </w:rPr>
  </w:style>
  <w:style w:type="character" w:customStyle="1" w:styleId="BodyTextChar">
    <w:name w:val="Body Text Char"/>
    <w:basedOn w:val="DefaultParagraphFont"/>
    <w:link w:val="BodyText"/>
    <w:rsid w:val="002C3014"/>
    <w:rPr>
      <w:b/>
      <w:sz w:val="28"/>
      <w:lang w:val="en-GB" w:eastAsia="en-GB"/>
    </w:rPr>
  </w:style>
  <w:style w:type="paragraph" w:customStyle="1" w:styleId="ef">
    <w:name w:val="ef"/>
    <w:basedOn w:val="Normal"/>
    <w:rsid w:val="002C3014"/>
    <w:pPr>
      <w:spacing w:before="100" w:beforeAutospacing="1" w:after="100" w:afterAutospacing="1"/>
    </w:pPr>
    <w:rPr>
      <w:rFonts w:ascii="Times New Roman" w:eastAsia="Calibri" w:hAnsi="Times New Roman"/>
      <w:lang w:val="en-GB" w:eastAsia="en-GB"/>
    </w:rPr>
  </w:style>
  <w:style w:type="paragraph" w:customStyle="1" w:styleId="BodyText1">
    <w:name w:val="Body Text1"/>
    <w:basedOn w:val="BodyText"/>
    <w:rsid w:val="001325A5"/>
    <w:rPr>
      <w:rFonts w:ascii="Arial" w:hAnsi="Arial"/>
      <w:b w:val="0"/>
      <w:sz w:val="20"/>
    </w:rPr>
  </w:style>
  <w:style w:type="paragraph" w:customStyle="1" w:styleId="HEADING">
    <w:name w:val="HEADING"/>
    <w:basedOn w:val="BodyText"/>
    <w:qFormat/>
    <w:rsid w:val="001325A5"/>
    <w:pPr>
      <w:spacing w:line="276" w:lineRule="auto"/>
      <w:jc w:val="center"/>
    </w:pPr>
    <w:rPr>
      <w:rFonts w:ascii="Arial" w:hAnsi="Arial" w:cs="Arial"/>
      <w:szCs w:val="28"/>
    </w:rPr>
  </w:style>
  <w:style w:type="paragraph" w:customStyle="1" w:styleId="Bodytext9ptItalics">
    <w:name w:val="Body text 9pt Italics"/>
    <w:basedOn w:val="BodyText1"/>
    <w:qFormat/>
    <w:rsid w:val="001325A5"/>
    <w:rPr>
      <w:i/>
      <w:sz w:val="18"/>
      <w:szCs w:val="18"/>
    </w:rPr>
  </w:style>
  <w:style w:type="character" w:customStyle="1" w:styleId="StyleArial9pt">
    <w:name w:val="Style Arial 9 pt"/>
    <w:basedOn w:val="DefaultParagraphFont"/>
    <w:rsid w:val="001325A5"/>
    <w:rPr>
      <w:rFonts w:ascii="Arial" w:hAnsi="Arial"/>
      <w:i/>
      <w:sz w:val="18"/>
    </w:rPr>
  </w:style>
  <w:style w:type="paragraph" w:customStyle="1" w:styleId="Headingbold10pt">
    <w:name w:val="Heading bold 10pt"/>
    <w:basedOn w:val="Normal"/>
    <w:qFormat/>
    <w:rsid w:val="00DA5017"/>
    <w:rPr>
      <w:rFonts w:ascii="Arial" w:hAnsi="Arial"/>
      <w:b/>
      <w:sz w:val="20"/>
    </w:rPr>
  </w:style>
  <w:style w:type="paragraph" w:customStyle="1" w:styleId="Headingbold9pt">
    <w:name w:val="Heading bold 9pt"/>
    <w:basedOn w:val="Headingbold10pt"/>
    <w:qFormat/>
    <w:rsid w:val="00DA5017"/>
    <w:rPr>
      <w:sz w:val="18"/>
    </w:rPr>
  </w:style>
  <w:style w:type="paragraph" w:customStyle="1" w:styleId="Bodytext9pt">
    <w:name w:val="Body text 9pt"/>
    <w:basedOn w:val="Bodytext9ptItalics"/>
    <w:qFormat/>
    <w:rsid w:val="00DA5017"/>
    <w:rPr>
      <w:i w:val="0"/>
    </w:rPr>
  </w:style>
  <w:style w:type="character" w:styleId="CommentReference">
    <w:name w:val="annotation reference"/>
    <w:basedOn w:val="DefaultParagraphFont"/>
    <w:semiHidden/>
    <w:unhideWhenUsed/>
    <w:rsid w:val="00156DFB"/>
    <w:rPr>
      <w:sz w:val="16"/>
      <w:szCs w:val="16"/>
    </w:rPr>
  </w:style>
  <w:style w:type="paragraph" w:styleId="CommentSubject">
    <w:name w:val="annotation subject"/>
    <w:basedOn w:val="CommentText"/>
    <w:next w:val="CommentText"/>
    <w:link w:val="CommentSubjectChar"/>
    <w:semiHidden/>
    <w:unhideWhenUsed/>
    <w:rsid w:val="00156DFB"/>
    <w:rPr>
      <w:rFonts w:ascii="Univers Next for HSBC Light" w:hAnsi="Univers Next for HSBC Light"/>
      <w:b/>
      <w:bCs/>
      <w:lang w:val="en-US" w:eastAsia="en-US"/>
    </w:rPr>
  </w:style>
  <w:style w:type="character" w:customStyle="1" w:styleId="CommentSubjectChar">
    <w:name w:val="Comment Subject Char"/>
    <w:basedOn w:val="CommentTextChar"/>
    <w:link w:val="CommentSubject"/>
    <w:semiHidden/>
    <w:rsid w:val="00156DFB"/>
    <w:rPr>
      <w:rFonts w:ascii="Univers Next for HSBC Light" w:hAnsi="Univers Next for HSBC Light"/>
      <w:b/>
      <w:bCs/>
      <w:lang w:val="en-GB" w:eastAsia="en-GB"/>
    </w:rPr>
  </w:style>
  <w:style w:type="paragraph" w:styleId="ListParagraph">
    <w:name w:val="List Paragraph"/>
    <w:basedOn w:val="Normal"/>
    <w:link w:val="ListParagraphChar"/>
    <w:uiPriority w:val="34"/>
    <w:qFormat/>
    <w:rsid w:val="0010002F"/>
    <w:pPr>
      <w:ind w:left="720"/>
      <w:contextualSpacing/>
    </w:pPr>
  </w:style>
  <w:style w:type="character" w:customStyle="1" w:styleId="shorttext">
    <w:name w:val="short_text"/>
    <w:basedOn w:val="DefaultParagraphFont"/>
    <w:rsid w:val="00B97FB6"/>
  </w:style>
  <w:style w:type="character" w:customStyle="1" w:styleId="HeaderChar">
    <w:name w:val="Header Char"/>
    <w:basedOn w:val="DefaultParagraphFont"/>
    <w:link w:val="Header"/>
    <w:uiPriority w:val="99"/>
    <w:rsid w:val="00333D12"/>
    <w:rPr>
      <w:rFonts w:ascii="Univers Next for HSBC Light" w:hAnsi="Univers Next for HSBC Light"/>
      <w:sz w:val="24"/>
      <w:szCs w:val="24"/>
    </w:rPr>
  </w:style>
  <w:style w:type="character" w:customStyle="1" w:styleId="ListParagraphChar">
    <w:name w:val="List Paragraph Char"/>
    <w:link w:val="ListParagraph"/>
    <w:uiPriority w:val="34"/>
    <w:rsid w:val="00061A94"/>
    <w:rPr>
      <w:rFonts w:ascii="Univers Next for HSBC Light" w:hAnsi="Univers Next for HSBC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222785">
      <w:bodyDiv w:val="1"/>
      <w:marLeft w:val="0"/>
      <w:marRight w:val="0"/>
      <w:marTop w:val="0"/>
      <w:marBottom w:val="0"/>
      <w:divBdr>
        <w:top w:val="none" w:sz="0" w:space="0" w:color="auto"/>
        <w:left w:val="none" w:sz="0" w:space="0" w:color="auto"/>
        <w:bottom w:val="none" w:sz="0" w:space="0" w:color="auto"/>
        <w:right w:val="none" w:sz="0" w:space="0" w:color="auto"/>
      </w:divBdr>
    </w:div>
    <w:div w:id="827987619">
      <w:bodyDiv w:val="1"/>
      <w:marLeft w:val="0"/>
      <w:marRight w:val="0"/>
      <w:marTop w:val="0"/>
      <w:marBottom w:val="0"/>
      <w:divBdr>
        <w:top w:val="none" w:sz="0" w:space="0" w:color="auto"/>
        <w:left w:val="none" w:sz="0" w:space="0" w:color="auto"/>
        <w:bottom w:val="none" w:sz="0" w:space="0" w:color="auto"/>
        <w:right w:val="none" w:sz="0" w:space="0" w:color="auto"/>
      </w:divBdr>
    </w:div>
    <w:div w:id="1042167814">
      <w:bodyDiv w:val="1"/>
      <w:marLeft w:val="0"/>
      <w:marRight w:val="0"/>
      <w:marTop w:val="0"/>
      <w:marBottom w:val="0"/>
      <w:divBdr>
        <w:top w:val="none" w:sz="0" w:space="0" w:color="auto"/>
        <w:left w:val="none" w:sz="0" w:space="0" w:color="auto"/>
        <w:bottom w:val="none" w:sz="0" w:space="0" w:color="auto"/>
        <w:right w:val="none" w:sz="0" w:space="0" w:color="auto"/>
      </w:divBdr>
    </w:div>
    <w:div w:id="1332294403">
      <w:bodyDiv w:val="1"/>
      <w:marLeft w:val="0"/>
      <w:marRight w:val="0"/>
      <w:marTop w:val="0"/>
      <w:marBottom w:val="0"/>
      <w:divBdr>
        <w:top w:val="none" w:sz="0" w:space="0" w:color="auto"/>
        <w:left w:val="none" w:sz="0" w:space="0" w:color="auto"/>
        <w:bottom w:val="none" w:sz="0" w:space="0" w:color="auto"/>
        <w:right w:val="none" w:sz="0" w:space="0" w:color="auto"/>
      </w:divBdr>
    </w:div>
    <w:div w:id="209369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lody.m.y.tong@hsbc.com.h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edward.j.moore@hsbc.com" TargetMode="Externa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mailto:yasser.alvi@bcw-globa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adia.mcglinchey@hsbc.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aul.a.smith@hsbc.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ora.cheok@hsbc.com.hk"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HSBC2012">
  <a:themeElements>
    <a:clrScheme name="Masterbrand 2018">
      <a:dk1>
        <a:srgbClr val="000000"/>
      </a:dk1>
      <a:lt1>
        <a:srgbClr val="FFFFFF"/>
      </a:lt1>
      <a:dk2>
        <a:srgbClr val="DB0011"/>
      </a:dk2>
      <a:lt2>
        <a:srgbClr val="CBCBCD"/>
      </a:lt2>
      <a:accent1>
        <a:srgbClr val="376798"/>
      </a:accent1>
      <a:accent2>
        <a:srgbClr val="269792"/>
      </a:accent2>
      <a:accent3>
        <a:srgbClr val="EDB343"/>
      </a:accent3>
      <a:accent4>
        <a:srgbClr val="588942"/>
      </a:accent4>
      <a:accent5>
        <a:srgbClr val="677B88"/>
      </a:accent5>
      <a:accent6>
        <a:srgbClr val="9E6D0E"/>
      </a:accent6>
      <a:hlink>
        <a:srgbClr val="1A4875"/>
      </a:hlink>
      <a:folHlink>
        <a:srgbClr val="9E6D0E"/>
      </a:folHlink>
    </a:clrScheme>
    <a:fontScheme name="HSBC2012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Primary 07">
      <a:srgbClr val="CBCBCD"/>
    </a:custClr>
    <a:custClr name="Primary 08">
      <a:srgbClr val="716196"/>
    </a:custClr>
    <a:custClr name="Primary 09">
      <a:srgbClr val="E54D58"/>
    </a:custClr>
    <a:custClr name="Pewter">
      <a:srgbClr val="767676"/>
    </a:custClr>
    <a:custClr name="Silver">
      <a:srgbClr val="D7D8D6"/>
    </a:custClr>
    <a:custClr name="Blue_01">
      <a:srgbClr val="002951"/>
    </a:custClr>
    <a:custClr name="Blue_02">
      <a:srgbClr val="003466"/>
    </a:custClr>
    <a:custClr name="Blue_03">
      <a:srgbClr val="1A4875"/>
    </a:custClr>
    <a:custClr name="Blue_04">
      <a:srgbClr val="305A85"/>
    </a:custClr>
    <a:custClr name="Blue_05">
      <a:srgbClr val="376798"/>
    </a:custClr>
    <a:custClr name="Emerald_01">
      <a:srgbClr val="004F4B"/>
    </a:custClr>
    <a:custClr name="Emerald_02">
      <a:srgbClr val="005E59"/>
    </a:custClr>
    <a:custClr name="Emerald_03">
      <a:srgbClr val="00716C"/>
    </a:custClr>
    <a:custClr name="Emerald_04">
      <a:srgbClr val="267651"/>
    </a:custClr>
    <a:custClr name="Emerald_06">
      <a:srgbClr val="269792"/>
    </a:custClr>
    <a:custClr name="Jade_01">
      <a:srgbClr val="142E01"/>
    </a:custClr>
    <a:custClr name="Jade_02">
      <a:srgbClr val="1B3E02"/>
    </a:custClr>
    <a:custClr name="Jade_03">
      <a:srgbClr val="32511B"/>
    </a:custClr>
    <a:custClr name="Jade_04">
      <a:srgbClr val="305F1B"/>
    </a:custClr>
    <a:custClr name="Jade_05">
      <a:srgbClr val="3B7522"/>
    </a:custClr>
    <a:custClr name="Slate_01">
      <a:srgbClr val="1D262C"/>
    </a:custClr>
    <a:custClr name="Slate_02">
      <a:srgbClr val="253038"/>
    </a:custClr>
    <a:custClr name="Slate_03">
      <a:srgbClr val="454E55"/>
    </a:custClr>
    <a:custClr name="Private Bank Slate">
      <a:srgbClr val="415562"/>
    </a:custClr>
    <a:custClr name="Slate_05">
      <a:srgbClr val="4D6474"/>
    </a:custClr>
    <a:custClr name="Indigo_01">
      <a:srgbClr val="1C1A49"/>
    </a:custClr>
    <a:custClr name="Premier Bank Indigo">
      <a:srgbClr val="262362"/>
    </a:custClr>
    <a:custClr name="Indigo_03">
      <a:srgbClr val="464379"/>
    </a:custClr>
    <a:custClr name="Indigo_04">
      <a:srgbClr val="423169"/>
    </a:custClr>
    <a:custClr name="Indigo_05">
      <a:srgbClr val="4E3A7C"/>
    </a:custClr>
    <a:custClr name="Burgundy">
      <a:srgbClr val="6F0008"/>
    </a:custClr>
    <a:custClr name="Red_02">
      <a:srgbClr val="83000A"/>
    </a:custClr>
    <a:custClr name="Red_03">
      <a:srgbClr val="8F1A22"/>
    </a:custClr>
    <a:custClr name="Red_04">
      <a:srgbClr val="AF000D"/>
    </a:custClr>
    <a:custClr name="Gold_2">
      <a:srgbClr val="BD8111"/>
    </a:custClr>
    <a:custClr name="Gold_3">
      <a:srgbClr val="BD871D"/>
    </a:custClr>
    <a:custClr name="Gold_4">
      <a:srgbClr val="D19012"/>
    </a:custClr>
    <a:custClr name="Gold_5">
      <a:srgbClr val="E9A115"/>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3B9CF8C18A5A4C8B443B88B747FBF2" ma:contentTypeVersion="0" ma:contentTypeDescription="Create a new document." ma:contentTypeScope="" ma:versionID="736997837b7265aa5dcf7749e8cf500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1F6EF-F569-4620-AAE8-254ED7B2B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D516A91-2FEA-4430-BC22-4F1A897D6694}">
  <ds:schemaRefs>
    <ds:schemaRef ds:uri="http://schemas.microsoft.com/sharepoint/v3/contenttype/forms"/>
  </ds:schemaRefs>
</ds:datastoreItem>
</file>

<file path=customXml/itemProps3.xml><?xml version="1.0" encoding="utf-8"?>
<ds:datastoreItem xmlns:ds="http://schemas.openxmlformats.org/officeDocument/2006/customXml" ds:itemID="{42918412-6EDF-402D-9B28-18F87F7452FB}">
  <ds:schemaRefs>
    <ds:schemaRef ds:uri="http://www.w3.org/XML/1998/namespac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8E7260E-A5C8-4870-9190-AD872EFE5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1165</Words>
  <Characters>6685</Characters>
  <Application>Microsoft Office Word</Application>
  <DocSecurity>0</DocSecurity>
  <Lines>127</Lines>
  <Paragraphs>38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A4_News Release</vt:lpstr>
      <vt:lpstr>A4_News Release</vt:lpstr>
    </vt:vector>
  </TitlesOfParts>
  <Company>HSBC Bank plc</Company>
  <LinksUpToDate>false</LinksUpToDate>
  <CharactersWithSpaces>7832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A4_News Release</dc:title>
  <dc:creator>Malindu SUBASINGHE</dc:creator>
  <cp:keywords>INTERNAL -</cp:keywords>
  <dc:description>INTERNAL -</dc:description>
  <cp:lastModifiedBy>Paul A SMITH</cp:lastModifiedBy>
  <cp:revision>5</cp:revision>
  <cp:lastPrinted>2018-03-01T08:29:00Z</cp:lastPrinted>
  <dcterms:created xsi:type="dcterms:W3CDTF">2019-06-18T16:48:00Z</dcterms:created>
  <dcterms:modified xsi:type="dcterms:W3CDTF">2019-06-18T16:55:00Z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0x010100553B9CF8C18A5A4C8B443B88B747FBF2</vt:lpwstr>
  </property>
  <property fmtid="{D5CDD505-2E9C-101B-9397-08002B2CF9AE}" pid="3" name="Order">
    <vt:r8>600</vt:r8>
  </property>
  <property fmtid="{D5CDD505-2E9C-101B-9397-08002B2CF9AE}" pid="4" name="TemplateUrl">
    <vt:lpwstr/>
  </property>
  <property fmtid="{D5CDD505-2E9C-101B-9397-08002B2CF9AE}" pid="5" name="xd_ProgID">
    <vt:lpwstr/>
  </property>
  <property fmtid="{D5CDD505-2E9C-101B-9397-08002B2CF9AE}" pid="6" name="Classification">
    <vt:lpwstr>INTERNAL</vt:lpwstr>
  </property>
  <property fmtid="{D5CDD505-2E9C-101B-9397-08002B2CF9AE}" pid="7" name="Source">
    <vt:lpwstr>Internal</vt:lpwstr>
  </property>
  <property fmtid="{D5CDD505-2E9C-101B-9397-08002B2CF9AE}" pid="8" name="Footers">
    <vt:lpwstr>No Footers</vt:lpwstr>
  </property>
  <property fmtid="{D5CDD505-2E9C-101B-9397-08002B2CF9AE}" pid="9" name="DocClassification">
    <vt:lpwstr>CLAINTERN</vt:lpwstr>
  </property>
</Properties>
</file>